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159A" w14:textId="77777777" w:rsidR="00BD5588" w:rsidRPr="00A82993" w:rsidRDefault="00BF0D02" w:rsidP="00B52528">
      <w:pPr>
        <w:pStyle w:val="Title"/>
        <w:ind w:firstLine="539"/>
        <w:contextualSpacing/>
        <w:rPr>
          <w:b/>
          <w:bCs/>
          <w:szCs w:val="28"/>
          <w:lang w:eastAsia="lv-LV"/>
        </w:rPr>
      </w:pPr>
      <w:bookmarkStart w:id="0" w:name="_GoBack"/>
      <w:bookmarkEnd w:id="0"/>
      <w:r w:rsidRPr="00A82993">
        <w:rPr>
          <w:b/>
          <w:bCs/>
          <w:szCs w:val="28"/>
          <w:lang w:eastAsia="lv-LV"/>
        </w:rPr>
        <w:t xml:space="preserve">Ministru kabineta noteikumu </w:t>
      </w:r>
      <w:r w:rsidR="001F4063" w:rsidRPr="00A82993">
        <w:rPr>
          <w:b/>
          <w:bCs/>
          <w:szCs w:val="28"/>
          <w:lang w:eastAsia="lv-LV"/>
        </w:rPr>
        <w:t>projekta</w:t>
      </w:r>
      <w:r w:rsidR="00A20122" w:rsidRPr="00A82993">
        <w:rPr>
          <w:b/>
          <w:bCs/>
          <w:szCs w:val="28"/>
          <w:lang w:eastAsia="lv-LV"/>
        </w:rPr>
        <w:t xml:space="preserve"> “</w:t>
      </w:r>
      <w:r w:rsidR="00BA42B0" w:rsidRPr="00A82993">
        <w:rPr>
          <w:b/>
          <w:bCs/>
          <w:szCs w:val="28"/>
          <w:lang w:eastAsia="lv-LV"/>
        </w:rPr>
        <w:t xml:space="preserve">Grozījumi Ministru kabineta 2012.gada 22.maija noteikumos Nr.361 </w:t>
      </w:r>
      <w:r w:rsidR="00BA42B0" w:rsidRPr="00A82993">
        <w:rPr>
          <w:szCs w:val="28"/>
        </w:rPr>
        <w:t>“</w:t>
      </w:r>
      <w:r w:rsidR="00BA42B0" w:rsidRPr="00A82993">
        <w:rPr>
          <w:b/>
          <w:bCs/>
          <w:szCs w:val="28"/>
          <w:lang w:eastAsia="lv-LV"/>
        </w:rPr>
        <w:t>Dabas resursu nodokļa piemērošanas noteikumi transportlīdzekļiem</w:t>
      </w:r>
      <w:r w:rsidR="00A20122" w:rsidRPr="00A82993">
        <w:rPr>
          <w:b/>
          <w:bCs/>
          <w:szCs w:val="28"/>
          <w:lang w:eastAsia="lv-LV"/>
        </w:rPr>
        <w:t>”</w:t>
      </w:r>
      <w:r w:rsidR="00BA42B0" w:rsidRPr="00A82993">
        <w:rPr>
          <w:b/>
          <w:bCs/>
          <w:szCs w:val="28"/>
          <w:lang w:eastAsia="lv-LV"/>
        </w:rPr>
        <w:t>”</w:t>
      </w:r>
      <w:r w:rsidR="00A20122" w:rsidRPr="00A82993">
        <w:rPr>
          <w:b/>
          <w:bCs/>
          <w:szCs w:val="28"/>
          <w:lang w:eastAsia="lv-LV"/>
        </w:rPr>
        <w:t xml:space="preserve"> </w:t>
      </w:r>
      <w:r w:rsidRPr="00A82993">
        <w:rPr>
          <w:b/>
          <w:bCs/>
          <w:szCs w:val="28"/>
          <w:lang w:eastAsia="lv-LV"/>
        </w:rPr>
        <w:t>sākotnējās ietekmes novērtējuma ziņojums (anotācija)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34"/>
        <w:gridCol w:w="5827"/>
      </w:tblGrid>
      <w:tr w:rsidR="00BD5588" w:rsidRPr="00A82993" w14:paraId="7A5CA7A3" w14:textId="77777777" w:rsidTr="00A07F2B">
        <w:trPr>
          <w:cantSplit/>
        </w:trPr>
        <w:tc>
          <w:tcPr>
            <w:tcW w:w="9067" w:type="dxa"/>
            <w:gridSpan w:val="2"/>
            <w:shd w:val="clear" w:color="auto" w:fill="FFFFFF"/>
            <w:vAlign w:val="center"/>
            <w:hideMark/>
          </w:tcPr>
          <w:p w14:paraId="392FD073" w14:textId="77777777" w:rsidR="00BD5588" w:rsidRPr="00A82993" w:rsidRDefault="00BD5588" w:rsidP="00144D93">
            <w:pPr>
              <w:contextualSpacing/>
              <w:jc w:val="center"/>
              <w:rPr>
                <w:b/>
                <w:iCs/>
                <w:sz w:val="28"/>
                <w:szCs w:val="28"/>
                <w:lang w:eastAsia="en-US"/>
              </w:rPr>
            </w:pPr>
            <w:r w:rsidRPr="00A82993">
              <w:rPr>
                <w:b/>
                <w:iCs/>
                <w:sz w:val="28"/>
                <w:szCs w:val="28"/>
                <w:lang w:eastAsia="en-US"/>
              </w:rPr>
              <w:t>Tiesību akta projekta anotācijas kopsavilkums</w:t>
            </w:r>
          </w:p>
        </w:tc>
      </w:tr>
      <w:tr w:rsidR="00632C7B" w:rsidRPr="00A82993" w14:paraId="4097378B" w14:textId="77777777" w:rsidTr="00A07F2B">
        <w:trPr>
          <w:cantSplit/>
        </w:trPr>
        <w:tc>
          <w:tcPr>
            <w:tcW w:w="3236" w:type="dxa"/>
            <w:shd w:val="clear" w:color="auto" w:fill="FFFFFF"/>
            <w:hideMark/>
          </w:tcPr>
          <w:p w14:paraId="4F980C94" w14:textId="77777777" w:rsidR="00BD5588" w:rsidRPr="00A82993" w:rsidRDefault="00BD5588" w:rsidP="00144D93">
            <w:pPr>
              <w:contextualSpacing/>
              <w:rPr>
                <w:iCs/>
                <w:sz w:val="28"/>
                <w:szCs w:val="28"/>
                <w:lang w:eastAsia="en-US"/>
              </w:rPr>
            </w:pPr>
            <w:r w:rsidRPr="00A82993">
              <w:rPr>
                <w:iCs/>
                <w:sz w:val="28"/>
                <w:szCs w:val="28"/>
                <w:lang w:eastAsia="en-US"/>
              </w:rPr>
              <w:t>Mērķis, risinājums un projekta spēkā stāšanās laiks (500 zīmes bez atstarpēm)</w:t>
            </w:r>
          </w:p>
        </w:tc>
        <w:tc>
          <w:tcPr>
            <w:tcW w:w="5831" w:type="dxa"/>
            <w:shd w:val="clear" w:color="auto" w:fill="FFFFFF"/>
            <w:hideMark/>
          </w:tcPr>
          <w:p w14:paraId="1727670E" w14:textId="77777777" w:rsidR="00C07B59" w:rsidRPr="00A82993" w:rsidRDefault="00B36A63" w:rsidP="00B36A63">
            <w:pPr>
              <w:jc w:val="both"/>
              <w:rPr>
                <w:bCs/>
                <w:sz w:val="28"/>
                <w:szCs w:val="28"/>
              </w:rPr>
            </w:pPr>
            <w:r w:rsidRPr="00A82993">
              <w:rPr>
                <w:sz w:val="28"/>
                <w:szCs w:val="28"/>
              </w:rPr>
              <w:t xml:space="preserve">Ministru kabineta noteikumu projekta “Grozījumi Ministru kabineta 2012.gada 22.maija noteikumos Nr.361 “Dabas resursu nodokļa piemērošanas noteikumi transportlīdzekļiem”” (turpmāk – noteikumu projekts) mērķis ir </w:t>
            </w:r>
            <w:r w:rsidR="00686BEB" w:rsidRPr="00A82993">
              <w:rPr>
                <w:sz w:val="28"/>
                <w:szCs w:val="28"/>
              </w:rPr>
              <w:t xml:space="preserve">precizēt </w:t>
            </w:r>
            <w:r w:rsidR="006E3778" w:rsidRPr="00A82993">
              <w:rPr>
                <w:bCs/>
                <w:sz w:val="28"/>
                <w:szCs w:val="28"/>
              </w:rPr>
              <w:t>dabas resursu nodokļa par transportlīdzekli (turpmāk – DRN par transportlīdzekli) maksāšanas kārtīb</w:t>
            </w:r>
            <w:r w:rsidR="00686BEB" w:rsidRPr="00A82993">
              <w:rPr>
                <w:bCs/>
                <w:sz w:val="28"/>
                <w:szCs w:val="28"/>
              </w:rPr>
              <w:t>u saistībā ar vienotā nodokļu konta (turpmāk – Konts) ieviešanu un</w:t>
            </w:r>
            <w:r w:rsidRPr="00A82993">
              <w:rPr>
                <w:bCs/>
                <w:sz w:val="28"/>
                <w:szCs w:val="28"/>
              </w:rPr>
              <w:t xml:space="preserve"> novēr</w:t>
            </w:r>
            <w:r w:rsidR="00686BEB" w:rsidRPr="00A82993">
              <w:rPr>
                <w:bCs/>
                <w:sz w:val="28"/>
                <w:szCs w:val="28"/>
              </w:rPr>
              <w:t>st</w:t>
            </w:r>
            <w:r w:rsidRPr="00A82993">
              <w:rPr>
                <w:bCs/>
                <w:sz w:val="28"/>
                <w:szCs w:val="28"/>
              </w:rPr>
              <w:t xml:space="preserve"> regulējuma </w:t>
            </w:r>
            <w:r w:rsidR="00686BEB" w:rsidRPr="00A82993">
              <w:rPr>
                <w:bCs/>
                <w:sz w:val="28"/>
                <w:szCs w:val="28"/>
              </w:rPr>
              <w:t>dažādās interpretācijas iespējas.</w:t>
            </w:r>
          </w:p>
          <w:p w14:paraId="5DA93D08" w14:textId="77777777" w:rsidR="00B36A63" w:rsidRPr="00A82993" w:rsidRDefault="00B36A63" w:rsidP="00B36A63">
            <w:pPr>
              <w:jc w:val="both"/>
              <w:rPr>
                <w:bCs/>
                <w:sz w:val="28"/>
                <w:szCs w:val="28"/>
              </w:rPr>
            </w:pPr>
            <w:r w:rsidRPr="00A82993">
              <w:rPr>
                <w:sz w:val="28"/>
                <w:szCs w:val="28"/>
              </w:rPr>
              <w:t>Regulējums stāsies spēkā 2021.gada 1.janvārī.</w:t>
            </w:r>
          </w:p>
        </w:tc>
      </w:tr>
    </w:tbl>
    <w:p w14:paraId="043AAEF5" w14:textId="77777777" w:rsidR="00BD5588" w:rsidRPr="00A82993" w:rsidRDefault="00BD5588" w:rsidP="0088117D">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2"/>
        <w:gridCol w:w="2678"/>
        <w:gridCol w:w="5821"/>
      </w:tblGrid>
      <w:tr w:rsidR="00BD5588" w:rsidRPr="00A82993" w14:paraId="4AB30532" w14:textId="77777777" w:rsidTr="00A07F2B">
        <w:tc>
          <w:tcPr>
            <w:tcW w:w="5000" w:type="pct"/>
            <w:gridSpan w:val="3"/>
            <w:vAlign w:val="center"/>
            <w:hideMark/>
          </w:tcPr>
          <w:p w14:paraId="5A56B037" w14:textId="77777777" w:rsidR="00EF0C09" w:rsidRPr="00A82993" w:rsidRDefault="00BD5588" w:rsidP="00A82993">
            <w:pPr>
              <w:contextualSpacing/>
              <w:jc w:val="center"/>
              <w:rPr>
                <w:b/>
                <w:bCs/>
                <w:sz w:val="28"/>
                <w:szCs w:val="28"/>
              </w:rPr>
            </w:pPr>
            <w:r w:rsidRPr="00A82993">
              <w:rPr>
                <w:b/>
                <w:bCs/>
                <w:sz w:val="28"/>
                <w:szCs w:val="28"/>
              </w:rPr>
              <w:t>I. Tiesību akta projekta izstrādes nepieciešamība</w:t>
            </w:r>
          </w:p>
        </w:tc>
      </w:tr>
      <w:tr w:rsidR="00BD5588" w:rsidRPr="00A82993" w14:paraId="3B9944B2" w14:textId="77777777" w:rsidTr="00A07F2B">
        <w:tc>
          <w:tcPr>
            <w:tcW w:w="310" w:type="pct"/>
            <w:hideMark/>
          </w:tcPr>
          <w:p w14:paraId="50DB397D" w14:textId="77777777" w:rsidR="00BD5588" w:rsidRPr="00A82993" w:rsidRDefault="00BD5588" w:rsidP="00144D93">
            <w:pPr>
              <w:contextualSpacing/>
              <w:jc w:val="center"/>
              <w:rPr>
                <w:sz w:val="28"/>
                <w:szCs w:val="28"/>
              </w:rPr>
            </w:pPr>
            <w:r w:rsidRPr="00A82993">
              <w:rPr>
                <w:sz w:val="28"/>
                <w:szCs w:val="28"/>
              </w:rPr>
              <w:t>1.</w:t>
            </w:r>
          </w:p>
        </w:tc>
        <w:tc>
          <w:tcPr>
            <w:tcW w:w="1478" w:type="pct"/>
            <w:hideMark/>
          </w:tcPr>
          <w:p w14:paraId="05394096" w14:textId="77777777" w:rsidR="00BD5588" w:rsidRPr="00A82993" w:rsidRDefault="00BD5588" w:rsidP="006E3778">
            <w:pPr>
              <w:jc w:val="both"/>
              <w:rPr>
                <w:bCs/>
                <w:sz w:val="28"/>
                <w:szCs w:val="28"/>
              </w:rPr>
            </w:pPr>
            <w:r w:rsidRPr="00A82993">
              <w:rPr>
                <w:bCs/>
                <w:sz w:val="28"/>
                <w:szCs w:val="28"/>
              </w:rPr>
              <w:t>Pamatojums</w:t>
            </w:r>
          </w:p>
          <w:p w14:paraId="006F7B9C" w14:textId="77777777" w:rsidR="00EF0C09" w:rsidRPr="00A82993" w:rsidRDefault="00EF0C09" w:rsidP="006E3778">
            <w:pPr>
              <w:jc w:val="both"/>
              <w:rPr>
                <w:bCs/>
                <w:sz w:val="28"/>
                <w:szCs w:val="28"/>
              </w:rPr>
            </w:pPr>
          </w:p>
        </w:tc>
        <w:tc>
          <w:tcPr>
            <w:tcW w:w="3211" w:type="pct"/>
            <w:hideMark/>
          </w:tcPr>
          <w:p w14:paraId="4FE5BD3A" w14:textId="77777777" w:rsidR="005C4589" w:rsidRPr="00A82993" w:rsidRDefault="00B36A63" w:rsidP="00B36A63">
            <w:pPr>
              <w:ind w:right="156"/>
              <w:jc w:val="both"/>
              <w:rPr>
                <w:bCs/>
                <w:sz w:val="28"/>
                <w:szCs w:val="28"/>
              </w:rPr>
            </w:pPr>
            <w:r w:rsidRPr="00A82993">
              <w:rPr>
                <w:sz w:val="28"/>
                <w:szCs w:val="28"/>
              </w:rPr>
              <w:t>Noteikumu projekts sagatavots pēc Finanšu ministrijas iniciatīvas.</w:t>
            </w:r>
          </w:p>
        </w:tc>
      </w:tr>
      <w:tr w:rsidR="00BD5588" w:rsidRPr="00A82993" w14:paraId="2331FDA5" w14:textId="77777777" w:rsidTr="00A07F2B">
        <w:tc>
          <w:tcPr>
            <w:tcW w:w="310" w:type="pct"/>
            <w:hideMark/>
          </w:tcPr>
          <w:p w14:paraId="01ED31D1" w14:textId="77777777" w:rsidR="00BD5588" w:rsidRPr="00A82993" w:rsidRDefault="00BD5588" w:rsidP="00144D93">
            <w:pPr>
              <w:contextualSpacing/>
              <w:jc w:val="center"/>
              <w:rPr>
                <w:sz w:val="28"/>
                <w:szCs w:val="28"/>
              </w:rPr>
            </w:pPr>
            <w:r w:rsidRPr="00A82993">
              <w:rPr>
                <w:sz w:val="28"/>
                <w:szCs w:val="28"/>
              </w:rPr>
              <w:t>2.</w:t>
            </w:r>
          </w:p>
        </w:tc>
        <w:tc>
          <w:tcPr>
            <w:tcW w:w="1478" w:type="pct"/>
            <w:hideMark/>
          </w:tcPr>
          <w:p w14:paraId="039CC78A" w14:textId="77777777" w:rsidR="00BD5588" w:rsidRPr="00A82993" w:rsidRDefault="00BD5588" w:rsidP="00144D93">
            <w:pPr>
              <w:contextualSpacing/>
              <w:rPr>
                <w:sz w:val="28"/>
                <w:szCs w:val="28"/>
              </w:rPr>
            </w:pPr>
            <w:r w:rsidRPr="00A82993">
              <w:rPr>
                <w:sz w:val="28"/>
                <w:szCs w:val="28"/>
              </w:rPr>
              <w:t>Pašreizējā situācija un problēmas, kuru risināšanai tiesību akta projekts izstrādāts, tiesiskā regulējuma mērķis un būtība</w:t>
            </w:r>
          </w:p>
        </w:tc>
        <w:tc>
          <w:tcPr>
            <w:tcW w:w="3211" w:type="pct"/>
          </w:tcPr>
          <w:p w14:paraId="309FBDD8" w14:textId="77777777" w:rsidR="00B36A63" w:rsidRPr="00A82993" w:rsidRDefault="00B36A63" w:rsidP="00B36A63">
            <w:pPr>
              <w:ind w:right="156"/>
              <w:jc w:val="both"/>
              <w:rPr>
                <w:bCs/>
                <w:sz w:val="28"/>
                <w:szCs w:val="28"/>
              </w:rPr>
            </w:pPr>
            <w:r w:rsidRPr="00A82993">
              <w:rPr>
                <w:bCs/>
                <w:sz w:val="28"/>
                <w:szCs w:val="28"/>
              </w:rPr>
              <w:t>Likuma “Par nodokļiem un nodevām” 23.</w:t>
            </w:r>
            <w:r w:rsidRPr="00A82993">
              <w:rPr>
                <w:bCs/>
                <w:sz w:val="28"/>
                <w:szCs w:val="28"/>
                <w:vertAlign w:val="superscript"/>
              </w:rPr>
              <w:t>1</w:t>
            </w:r>
            <w:r w:rsidRPr="00A82993">
              <w:rPr>
                <w:bCs/>
                <w:sz w:val="28"/>
                <w:szCs w:val="28"/>
              </w:rPr>
              <w:t>pant</w:t>
            </w:r>
            <w:r w:rsidR="009903B7" w:rsidRPr="00A82993">
              <w:rPr>
                <w:bCs/>
                <w:sz w:val="28"/>
                <w:szCs w:val="28"/>
              </w:rPr>
              <w:t>a</w:t>
            </w:r>
            <w:r w:rsidRPr="00A82993">
              <w:rPr>
                <w:bCs/>
                <w:sz w:val="28"/>
                <w:szCs w:val="28"/>
              </w:rPr>
              <w:t xml:space="preserve"> </w:t>
            </w:r>
            <w:r w:rsidR="009903B7" w:rsidRPr="00A82993">
              <w:rPr>
                <w:iCs/>
                <w:sz w:val="28"/>
                <w:szCs w:val="28"/>
              </w:rPr>
              <w:t xml:space="preserve">pirmās daļas 6.punkts </w:t>
            </w:r>
            <w:r w:rsidRPr="00A82993">
              <w:rPr>
                <w:bCs/>
                <w:sz w:val="28"/>
                <w:szCs w:val="28"/>
              </w:rPr>
              <w:t>(redakcijā, kas stā</w:t>
            </w:r>
            <w:r w:rsidR="00E9730E" w:rsidRPr="00A82993">
              <w:rPr>
                <w:bCs/>
                <w:sz w:val="28"/>
                <w:szCs w:val="28"/>
              </w:rPr>
              <w:t>sies spēkā 2021.gada 1.janvārī)</w:t>
            </w:r>
            <w:r w:rsidRPr="00A82993">
              <w:rPr>
                <w:bCs/>
                <w:sz w:val="28"/>
                <w:szCs w:val="28"/>
              </w:rPr>
              <w:t xml:space="preserve"> paredz, ka dabas resursu nodoklis (turpmāk – DRN) ir maksājams</w:t>
            </w:r>
            <w:r w:rsidR="00503BCD" w:rsidRPr="00A82993">
              <w:rPr>
                <w:bCs/>
                <w:sz w:val="28"/>
                <w:szCs w:val="28"/>
              </w:rPr>
              <w:t xml:space="preserve"> Kont</w:t>
            </w:r>
            <w:r w:rsidR="00217F14">
              <w:rPr>
                <w:bCs/>
                <w:sz w:val="28"/>
                <w:szCs w:val="28"/>
              </w:rPr>
              <w:t>ā</w:t>
            </w:r>
            <w:r w:rsidRPr="00A82993">
              <w:rPr>
                <w:bCs/>
                <w:sz w:val="28"/>
                <w:szCs w:val="28"/>
              </w:rPr>
              <w:t xml:space="preserve">. </w:t>
            </w:r>
          </w:p>
          <w:p w14:paraId="7B42E797" w14:textId="77777777" w:rsidR="00B36A63" w:rsidRPr="00A82993" w:rsidRDefault="00B36A63" w:rsidP="00B36A63">
            <w:pPr>
              <w:jc w:val="both"/>
              <w:rPr>
                <w:iCs/>
                <w:sz w:val="28"/>
                <w:szCs w:val="28"/>
              </w:rPr>
            </w:pPr>
            <w:r w:rsidRPr="00A82993">
              <w:rPr>
                <w:bCs/>
                <w:sz w:val="28"/>
                <w:szCs w:val="28"/>
              </w:rPr>
              <w:t>Dabas resursu nodokļa likuma 27.panta piektā da</w:t>
            </w:r>
            <w:r w:rsidR="009903B7" w:rsidRPr="00A82993">
              <w:rPr>
                <w:bCs/>
                <w:sz w:val="28"/>
                <w:szCs w:val="28"/>
              </w:rPr>
              <w:t xml:space="preserve">ļa </w:t>
            </w:r>
            <w:r w:rsidRPr="00A82993">
              <w:rPr>
                <w:bCs/>
                <w:sz w:val="28"/>
                <w:szCs w:val="28"/>
              </w:rPr>
              <w:t>paredz deleģējumu Ministru kabinetam noteikt kārtību, kādā maksājams DRN un atmaksājams samaksātais DRN par transportlīdzekli.</w:t>
            </w:r>
          </w:p>
          <w:p w14:paraId="50BB7E88" w14:textId="77777777" w:rsidR="009903B7" w:rsidRPr="00A82993" w:rsidRDefault="009903B7" w:rsidP="009903B7">
            <w:pPr>
              <w:jc w:val="both"/>
              <w:rPr>
                <w:bCs/>
                <w:sz w:val="28"/>
                <w:szCs w:val="28"/>
              </w:rPr>
            </w:pPr>
            <w:r w:rsidRPr="00A82993">
              <w:rPr>
                <w:bCs/>
                <w:sz w:val="28"/>
                <w:szCs w:val="28"/>
              </w:rPr>
              <w:t xml:space="preserve">Ministru kabineta </w:t>
            </w:r>
            <w:r w:rsidRPr="00A82993">
              <w:rPr>
                <w:sz w:val="28"/>
                <w:szCs w:val="28"/>
              </w:rPr>
              <w:t xml:space="preserve">2012.gada 22.maija </w:t>
            </w:r>
            <w:r w:rsidRPr="00A82993">
              <w:rPr>
                <w:bCs/>
                <w:sz w:val="28"/>
                <w:szCs w:val="28"/>
              </w:rPr>
              <w:t>noteikum</w:t>
            </w:r>
            <w:r w:rsidR="00997E12" w:rsidRPr="00A82993">
              <w:rPr>
                <w:bCs/>
                <w:sz w:val="28"/>
                <w:szCs w:val="28"/>
              </w:rPr>
              <w:t>u</w:t>
            </w:r>
            <w:r w:rsidRPr="00A82993">
              <w:rPr>
                <w:bCs/>
                <w:sz w:val="28"/>
                <w:szCs w:val="28"/>
              </w:rPr>
              <w:t xml:space="preserve"> Nr.361 </w:t>
            </w:r>
            <w:r w:rsidRPr="00A82993">
              <w:rPr>
                <w:sz w:val="28"/>
                <w:szCs w:val="28"/>
              </w:rPr>
              <w:t>“Dabas resursu nodokļa piemērošanas noteikumi transportlīdzekļiem”</w:t>
            </w:r>
            <w:r w:rsidR="00F77B4A" w:rsidRPr="00A82993">
              <w:rPr>
                <w:sz w:val="28"/>
                <w:szCs w:val="28"/>
              </w:rPr>
              <w:t xml:space="preserve"> (turpmāk – </w:t>
            </w:r>
            <w:r w:rsidR="00217F14">
              <w:rPr>
                <w:sz w:val="28"/>
                <w:szCs w:val="28"/>
              </w:rPr>
              <w:t>MK</w:t>
            </w:r>
            <w:r w:rsidR="00F77B4A" w:rsidRPr="00A82993">
              <w:rPr>
                <w:sz w:val="28"/>
                <w:szCs w:val="28"/>
              </w:rPr>
              <w:t xml:space="preserve"> </w:t>
            </w:r>
            <w:r w:rsidR="00F77B4A" w:rsidRPr="00A82993">
              <w:rPr>
                <w:bCs/>
                <w:sz w:val="28"/>
                <w:szCs w:val="28"/>
              </w:rPr>
              <w:t>noteikumi Nr.361)</w:t>
            </w:r>
            <w:r w:rsidR="00997E12" w:rsidRPr="00A82993">
              <w:rPr>
                <w:sz w:val="28"/>
                <w:szCs w:val="28"/>
              </w:rPr>
              <w:t>, kuros ir noteikta kārtība, kādā maksā DRN un atmaksā samaksāto DRN par transportlīdzekli,</w:t>
            </w:r>
            <w:r w:rsidRPr="00A82993">
              <w:rPr>
                <w:sz w:val="28"/>
                <w:szCs w:val="28"/>
              </w:rPr>
              <w:t xml:space="preserve"> </w:t>
            </w:r>
            <w:r w:rsidRPr="00A82993">
              <w:rPr>
                <w:bCs/>
                <w:sz w:val="28"/>
                <w:szCs w:val="28"/>
              </w:rPr>
              <w:t>3.punkts paredz, ka DRN par transportlīdzekļiem, kuri Latvijā tiek pastāvīgi reģistrēti pirmo reizi, nodokļa maksātājs samaksā pēc transportlīdzekļa agregāta numuru salīdzināšanas, kas veikta atbilstoši normatīvajiem aktiem par transportlīdzekļu reģistrāciju, bet pirms attiecīgā transportlīdzekļa reģistrēšanas, izmantojot šādus maksājuma pakalpojumu veidus:</w:t>
            </w:r>
          </w:p>
          <w:p w14:paraId="43F21494" w14:textId="77777777" w:rsidR="009903B7" w:rsidRPr="00A82993" w:rsidRDefault="009903B7" w:rsidP="009903B7">
            <w:pPr>
              <w:jc w:val="both"/>
              <w:rPr>
                <w:bCs/>
                <w:sz w:val="28"/>
                <w:szCs w:val="28"/>
              </w:rPr>
            </w:pPr>
            <w:r w:rsidRPr="00A82993">
              <w:rPr>
                <w:bCs/>
                <w:sz w:val="28"/>
                <w:szCs w:val="28"/>
              </w:rPr>
              <w:lastRenderedPageBreak/>
              <w:t>3.1. skaidrā n</w:t>
            </w:r>
            <w:r w:rsidR="00997E12" w:rsidRPr="00A82993">
              <w:rPr>
                <w:bCs/>
                <w:sz w:val="28"/>
                <w:szCs w:val="28"/>
              </w:rPr>
              <w:t>audā valsts akciju sabiedrības “</w:t>
            </w:r>
            <w:r w:rsidRPr="00A82993">
              <w:rPr>
                <w:bCs/>
                <w:sz w:val="28"/>
                <w:szCs w:val="28"/>
              </w:rPr>
              <w:t>Ce</w:t>
            </w:r>
            <w:r w:rsidR="00997E12" w:rsidRPr="00A82993">
              <w:rPr>
                <w:bCs/>
                <w:sz w:val="28"/>
                <w:szCs w:val="28"/>
              </w:rPr>
              <w:t>ļu satiksmes drošības direkcija”</w:t>
            </w:r>
            <w:r w:rsidRPr="00A82993">
              <w:rPr>
                <w:bCs/>
                <w:sz w:val="28"/>
                <w:szCs w:val="28"/>
              </w:rPr>
              <w:t xml:space="preserve"> (turpmāk – </w:t>
            </w:r>
            <w:r w:rsidR="00997E12" w:rsidRPr="00A82993">
              <w:rPr>
                <w:bCs/>
                <w:sz w:val="28"/>
                <w:szCs w:val="28"/>
              </w:rPr>
              <w:t>CSDD</w:t>
            </w:r>
            <w:r w:rsidRPr="00A82993">
              <w:rPr>
                <w:bCs/>
                <w:sz w:val="28"/>
                <w:szCs w:val="28"/>
              </w:rPr>
              <w:t xml:space="preserve">) kasē. </w:t>
            </w:r>
            <w:r w:rsidR="00997E12" w:rsidRPr="00A82993">
              <w:rPr>
                <w:bCs/>
                <w:sz w:val="28"/>
                <w:szCs w:val="28"/>
              </w:rPr>
              <w:t>CSDD</w:t>
            </w:r>
            <w:r w:rsidRPr="00A82993">
              <w:rPr>
                <w:bCs/>
                <w:sz w:val="28"/>
                <w:szCs w:val="28"/>
              </w:rPr>
              <w:t xml:space="preserve"> triju darbdienu laikā iemaksā valsts budžetā skaidrā naudā iekasētās nodokļa summas, neieskaitot tās savā norēķinu kontā;</w:t>
            </w:r>
          </w:p>
          <w:p w14:paraId="390C3E31" w14:textId="77777777" w:rsidR="009903B7" w:rsidRPr="00A82993" w:rsidRDefault="009903B7" w:rsidP="009903B7">
            <w:pPr>
              <w:jc w:val="both"/>
              <w:rPr>
                <w:bCs/>
                <w:sz w:val="28"/>
                <w:szCs w:val="28"/>
              </w:rPr>
            </w:pPr>
            <w:r w:rsidRPr="00A82993">
              <w:rPr>
                <w:bCs/>
                <w:sz w:val="28"/>
                <w:szCs w:val="28"/>
              </w:rPr>
              <w:t>3.2.</w:t>
            </w:r>
            <w:r w:rsidR="00E9730E" w:rsidRPr="00A82993">
              <w:rPr>
                <w:bCs/>
                <w:sz w:val="28"/>
                <w:szCs w:val="28"/>
              </w:rPr>
              <w:t> </w:t>
            </w:r>
            <w:r w:rsidR="00997E12" w:rsidRPr="00A82993">
              <w:rPr>
                <w:bCs/>
                <w:sz w:val="28"/>
                <w:szCs w:val="28"/>
              </w:rPr>
              <w:t>CSDD</w:t>
            </w:r>
            <w:r w:rsidRPr="00A82993">
              <w:rPr>
                <w:bCs/>
                <w:sz w:val="28"/>
                <w:szCs w:val="28"/>
              </w:rPr>
              <w:t xml:space="preserve"> ar maksājumu karti maksājumu karšu pieņemšanas terminālī vai citā alternatīvā sistēmā, ja </w:t>
            </w:r>
            <w:r w:rsidR="00997E12" w:rsidRPr="00A82993">
              <w:rPr>
                <w:bCs/>
                <w:sz w:val="28"/>
                <w:szCs w:val="28"/>
              </w:rPr>
              <w:t>CSDD</w:t>
            </w:r>
            <w:r w:rsidRPr="00A82993">
              <w:rPr>
                <w:bCs/>
                <w:sz w:val="28"/>
                <w:szCs w:val="28"/>
              </w:rPr>
              <w:t xml:space="preserve"> vai starpniekinstitūcija to tehniski nodrošina. Veicot maksājumu ar maksājumu karti, maksājuma kvītī jānorāda informācija par nodokļa maksātāju (maksātāja vārds, uzvārds vai nosaukums), transportlīdzekļa identifikācijas numurs (VIN) vai transportlīdzekļa agregāta numuru salīdzināšanas izziņas numurs un samaksātā nodokļa apmērs;</w:t>
            </w:r>
          </w:p>
          <w:p w14:paraId="25BAC222" w14:textId="77777777" w:rsidR="009903B7" w:rsidRPr="00A82993" w:rsidRDefault="009903B7" w:rsidP="009903B7">
            <w:pPr>
              <w:jc w:val="both"/>
              <w:rPr>
                <w:bCs/>
                <w:sz w:val="28"/>
                <w:szCs w:val="28"/>
              </w:rPr>
            </w:pPr>
            <w:r w:rsidRPr="00A82993">
              <w:rPr>
                <w:bCs/>
                <w:sz w:val="28"/>
                <w:szCs w:val="28"/>
              </w:rPr>
              <w:t>3.3.</w:t>
            </w:r>
            <w:r w:rsidR="00E9730E" w:rsidRPr="00A82993">
              <w:rPr>
                <w:bCs/>
                <w:sz w:val="28"/>
                <w:szCs w:val="28"/>
              </w:rPr>
              <w:t> </w:t>
            </w:r>
            <w:r w:rsidRPr="00A82993">
              <w:rPr>
                <w:bCs/>
                <w:sz w:val="28"/>
                <w:szCs w:val="28"/>
              </w:rPr>
              <w:t>ar maksājumu pakalpojumu sniedzēja starpniecību, kuram ir tiesības sniegt maksājumu pakalpojumus Maksājumu pakalpojumu un elektroniskās naudas likuma izpratnē. Veicot maksājumu ar maksājumu pakalpojumu sniedzēja starpniecību, maksājuma rīkojumā mērķī jānorāda informācija par nodokļa maksātāju (maksātāja vārds, uzvārds vai nosaukums), transportlīdzekļa identifikācijas numurs (VIN) vai transportlīdzekļa agregāta numuru salīdzināšanas izziņas numurs un samaksātā nodokļa apmērs.</w:t>
            </w:r>
          </w:p>
          <w:p w14:paraId="08B64E26" w14:textId="05497BD8" w:rsidR="007A3AE8" w:rsidRPr="00A82993" w:rsidRDefault="00F77B4A" w:rsidP="00F77B4A">
            <w:pPr>
              <w:jc w:val="both"/>
              <w:rPr>
                <w:sz w:val="28"/>
                <w:szCs w:val="28"/>
              </w:rPr>
            </w:pPr>
            <w:r w:rsidRPr="00A82993">
              <w:rPr>
                <w:sz w:val="28"/>
                <w:szCs w:val="28"/>
              </w:rPr>
              <w:t xml:space="preserve">Ņemot vērā minēto, </w:t>
            </w:r>
            <w:r w:rsidR="00217F14">
              <w:rPr>
                <w:sz w:val="28"/>
                <w:szCs w:val="28"/>
              </w:rPr>
              <w:t xml:space="preserve">skatot kopsakarā </w:t>
            </w:r>
            <w:r w:rsidRPr="00A82993">
              <w:rPr>
                <w:sz w:val="28"/>
                <w:szCs w:val="28"/>
              </w:rPr>
              <w:t>likumā “Par nodokļiem un nodevām” noteikt</w:t>
            </w:r>
            <w:r w:rsidR="00217F14">
              <w:rPr>
                <w:sz w:val="28"/>
                <w:szCs w:val="28"/>
              </w:rPr>
              <w:t>o</w:t>
            </w:r>
            <w:r w:rsidRPr="00A82993">
              <w:rPr>
                <w:sz w:val="28"/>
                <w:szCs w:val="28"/>
              </w:rPr>
              <w:t xml:space="preserve"> regulējum</w:t>
            </w:r>
            <w:r w:rsidR="00217F14">
              <w:rPr>
                <w:sz w:val="28"/>
                <w:szCs w:val="28"/>
              </w:rPr>
              <w:t>u</w:t>
            </w:r>
            <w:r w:rsidRPr="00A82993">
              <w:rPr>
                <w:sz w:val="28"/>
                <w:szCs w:val="28"/>
              </w:rPr>
              <w:t xml:space="preserve"> par </w:t>
            </w:r>
            <w:r w:rsidR="00D73CA4" w:rsidRPr="00A82993">
              <w:rPr>
                <w:sz w:val="28"/>
                <w:szCs w:val="28"/>
              </w:rPr>
              <w:t>Kontu</w:t>
            </w:r>
            <w:r w:rsidRPr="00A82993">
              <w:rPr>
                <w:sz w:val="28"/>
                <w:szCs w:val="28"/>
              </w:rPr>
              <w:t>, kas stāsies spēkā 2021.gada 1.janvārī, un spēkā esoš</w:t>
            </w:r>
            <w:r w:rsidR="00217F14">
              <w:rPr>
                <w:sz w:val="28"/>
                <w:szCs w:val="28"/>
              </w:rPr>
              <w:t>os</w:t>
            </w:r>
            <w:r w:rsidRPr="00A82993">
              <w:rPr>
                <w:sz w:val="28"/>
                <w:szCs w:val="28"/>
              </w:rPr>
              <w:t xml:space="preserve"> DRN reglamentējoš</w:t>
            </w:r>
            <w:r w:rsidR="00217F14">
              <w:rPr>
                <w:sz w:val="28"/>
                <w:szCs w:val="28"/>
              </w:rPr>
              <w:t>os</w:t>
            </w:r>
            <w:r w:rsidRPr="00A82993">
              <w:rPr>
                <w:sz w:val="28"/>
                <w:szCs w:val="28"/>
              </w:rPr>
              <w:t xml:space="preserve"> normatīv</w:t>
            </w:r>
            <w:r w:rsidR="00217F14">
              <w:rPr>
                <w:sz w:val="28"/>
                <w:szCs w:val="28"/>
              </w:rPr>
              <w:t>os</w:t>
            </w:r>
            <w:r w:rsidRPr="00A82993">
              <w:rPr>
                <w:sz w:val="28"/>
                <w:szCs w:val="28"/>
              </w:rPr>
              <w:t xml:space="preserve"> akt</w:t>
            </w:r>
            <w:r w:rsidR="00217F14">
              <w:rPr>
                <w:sz w:val="28"/>
                <w:szCs w:val="28"/>
              </w:rPr>
              <w:t>us, ir secināms, ka tie</w:t>
            </w:r>
            <w:r w:rsidRPr="00A82993">
              <w:rPr>
                <w:sz w:val="28"/>
                <w:szCs w:val="28"/>
              </w:rPr>
              <w:t xml:space="preserve"> </w:t>
            </w:r>
            <w:r w:rsidR="00EE5D44" w:rsidRPr="00A82993">
              <w:rPr>
                <w:sz w:val="28"/>
                <w:szCs w:val="28"/>
              </w:rPr>
              <w:t>var radīt neskaidrības DRN par transportlīdzekli maksāšanas kār</w:t>
            </w:r>
            <w:r w:rsidR="007A3AE8" w:rsidRPr="00A82993">
              <w:rPr>
                <w:sz w:val="28"/>
                <w:szCs w:val="28"/>
              </w:rPr>
              <w:t xml:space="preserve">tībā, proti, par to, vai ir iespējams DRN par transportlīdzekli samaksāt Kontā pastarpināti, izmantojot maksāšanas iespējas CSDD, vai </w:t>
            </w:r>
            <w:r w:rsidR="008C46E0">
              <w:rPr>
                <w:sz w:val="28"/>
                <w:szCs w:val="28"/>
              </w:rPr>
              <w:t xml:space="preserve">(t.sk. </w:t>
            </w:r>
            <w:r w:rsidR="003A1617">
              <w:rPr>
                <w:sz w:val="28"/>
                <w:szCs w:val="28"/>
              </w:rPr>
              <w:t>cik dienu laikā</w:t>
            </w:r>
            <w:r w:rsidR="008C46E0">
              <w:rPr>
                <w:sz w:val="28"/>
                <w:szCs w:val="28"/>
              </w:rPr>
              <w:t>)</w:t>
            </w:r>
            <w:r w:rsidR="003A1617">
              <w:rPr>
                <w:sz w:val="28"/>
                <w:szCs w:val="28"/>
              </w:rPr>
              <w:t xml:space="preserve"> </w:t>
            </w:r>
            <w:r w:rsidR="007A3AE8" w:rsidRPr="00A82993">
              <w:rPr>
                <w:sz w:val="28"/>
                <w:szCs w:val="28"/>
              </w:rPr>
              <w:t>CSDD saņemto</w:t>
            </w:r>
            <w:r w:rsidR="003A1617">
              <w:rPr>
                <w:sz w:val="28"/>
                <w:szCs w:val="28"/>
              </w:rPr>
              <w:t>s</w:t>
            </w:r>
            <w:r w:rsidR="007A3AE8" w:rsidRPr="00A82993">
              <w:rPr>
                <w:sz w:val="28"/>
                <w:szCs w:val="28"/>
              </w:rPr>
              <w:t xml:space="preserve"> maksājumu</w:t>
            </w:r>
            <w:r w:rsidR="003A1617">
              <w:rPr>
                <w:sz w:val="28"/>
                <w:szCs w:val="28"/>
              </w:rPr>
              <w:t>s</w:t>
            </w:r>
            <w:r w:rsidR="007A3AE8" w:rsidRPr="00A82993">
              <w:rPr>
                <w:sz w:val="28"/>
                <w:szCs w:val="28"/>
              </w:rPr>
              <w:t xml:space="preserve"> iemaksās Kontā. </w:t>
            </w:r>
          </w:p>
          <w:p w14:paraId="54E0B955" w14:textId="77777777" w:rsidR="00D73CA4" w:rsidRPr="00A82993" w:rsidRDefault="00F77B4A" w:rsidP="00F77B4A">
            <w:pPr>
              <w:jc w:val="both"/>
              <w:rPr>
                <w:sz w:val="28"/>
                <w:szCs w:val="28"/>
              </w:rPr>
            </w:pPr>
            <w:r w:rsidRPr="00A82993">
              <w:rPr>
                <w:sz w:val="28"/>
                <w:szCs w:val="28"/>
              </w:rPr>
              <w:t xml:space="preserve">DRN reglamentējošajos </w:t>
            </w:r>
            <w:r w:rsidR="003A1617">
              <w:rPr>
                <w:sz w:val="28"/>
                <w:szCs w:val="28"/>
              </w:rPr>
              <w:t xml:space="preserve">normatīvajos </w:t>
            </w:r>
            <w:r w:rsidRPr="00A82993">
              <w:rPr>
                <w:sz w:val="28"/>
                <w:szCs w:val="28"/>
              </w:rPr>
              <w:t>aktos notei</w:t>
            </w:r>
            <w:r w:rsidR="00C7688A" w:rsidRPr="00A82993">
              <w:rPr>
                <w:sz w:val="28"/>
                <w:szCs w:val="28"/>
              </w:rPr>
              <w:t>ktā DRN par transportlīdzekli</w:t>
            </w:r>
            <w:r w:rsidRPr="00A82993">
              <w:rPr>
                <w:sz w:val="28"/>
                <w:szCs w:val="28"/>
              </w:rPr>
              <w:t xml:space="preserve"> maksāšanas kārtība</w:t>
            </w:r>
            <w:r w:rsidR="00D73CA4" w:rsidRPr="00A82993">
              <w:rPr>
                <w:sz w:val="28"/>
                <w:szCs w:val="28"/>
              </w:rPr>
              <w:t xml:space="preserve">, kas cita starpā paredz arī iespēju izmantot dažādus maksājumu pakalpojumu veidus, ir efektīva un operatīva. </w:t>
            </w:r>
            <w:r w:rsidR="007A3AE8" w:rsidRPr="00A82993">
              <w:rPr>
                <w:sz w:val="28"/>
                <w:szCs w:val="28"/>
              </w:rPr>
              <w:t>N</w:t>
            </w:r>
            <w:r w:rsidRPr="00A82993">
              <w:rPr>
                <w:sz w:val="28"/>
                <w:szCs w:val="28"/>
              </w:rPr>
              <w:t xml:space="preserve">odokļu maksātājam nav iespējams veikt darbības </w:t>
            </w:r>
            <w:r w:rsidR="00857072" w:rsidRPr="00A82993">
              <w:rPr>
                <w:sz w:val="28"/>
                <w:szCs w:val="28"/>
              </w:rPr>
              <w:t xml:space="preserve">ar transportlīdzekli </w:t>
            </w:r>
            <w:r w:rsidRPr="00A82993">
              <w:rPr>
                <w:sz w:val="28"/>
                <w:szCs w:val="28"/>
              </w:rPr>
              <w:t xml:space="preserve">CSDD, </w:t>
            </w:r>
            <w:r w:rsidRPr="00A82993">
              <w:rPr>
                <w:sz w:val="28"/>
                <w:szCs w:val="28"/>
              </w:rPr>
              <w:lastRenderedPageBreak/>
              <w:t xml:space="preserve">kamēr DRN </w:t>
            </w:r>
            <w:r w:rsidR="00D73CA4" w:rsidRPr="00A82993">
              <w:rPr>
                <w:sz w:val="28"/>
                <w:szCs w:val="28"/>
              </w:rPr>
              <w:t xml:space="preserve">par transportlīdzekli </w:t>
            </w:r>
            <w:r w:rsidRPr="00A82993">
              <w:rPr>
                <w:sz w:val="28"/>
                <w:szCs w:val="28"/>
              </w:rPr>
              <w:t>nav samaksāts, tādējādi ir novērsta minētā nodokļa parāda rašanās</w:t>
            </w:r>
            <w:r w:rsidR="00217F14">
              <w:rPr>
                <w:sz w:val="28"/>
                <w:szCs w:val="28"/>
              </w:rPr>
              <w:t xml:space="preserve"> iespējamība</w:t>
            </w:r>
            <w:r w:rsidR="00D73CA4" w:rsidRPr="00A82993">
              <w:rPr>
                <w:sz w:val="28"/>
                <w:szCs w:val="28"/>
              </w:rPr>
              <w:t xml:space="preserve">. </w:t>
            </w:r>
            <w:r w:rsidR="004D408F" w:rsidRPr="00A82993">
              <w:rPr>
                <w:sz w:val="28"/>
                <w:szCs w:val="28"/>
              </w:rPr>
              <w:t xml:space="preserve">Turklāt </w:t>
            </w:r>
            <w:r w:rsidR="00217F14">
              <w:rPr>
                <w:sz w:val="28"/>
                <w:szCs w:val="28"/>
              </w:rPr>
              <w:t>MK</w:t>
            </w:r>
            <w:r w:rsidR="003A1617" w:rsidRPr="00A82993">
              <w:rPr>
                <w:sz w:val="28"/>
                <w:szCs w:val="28"/>
              </w:rPr>
              <w:t xml:space="preserve"> </w:t>
            </w:r>
            <w:r w:rsidR="003A1617" w:rsidRPr="00A82993">
              <w:rPr>
                <w:bCs/>
                <w:sz w:val="28"/>
                <w:szCs w:val="28"/>
              </w:rPr>
              <w:t>noteikum</w:t>
            </w:r>
            <w:r w:rsidR="003A1617">
              <w:rPr>
                <w:bCs/>
                <w:sz w:val="28"/>
                <w:szCs w:val="28"/>
              </w:rPr>
              <w:t>os</w:t>
            </w:r>
            <w:r w:rsidR="003A1617" w:rsidRPr="00A82993">
              <w:rPr>
                <w:bCs/>
                <w:sz w:val="28"/>
                <w:szCs w:val="28"/>
              </w:rPr>
              <w:t xml:space="preserve"> Nr.361</w:t>
            </w:r>
            <w:r w:rsidR="003A1617">
              <w:rPr>
                <w:bCs/>
                <w:sz w:val="28"/>
                <w:szCs w:val="28"/>
              </w:rPr>
              <w:t xml:space="preserve"> </w:t>
            </w:r>
            <w:r w:rsidR="003A1617">
              <w:rPr>
                <w:sz w:val="28"/>
                <w:szCs w:val="28"/>
              </w:rPr>
              <w:t>paredzētā kārtība</w:t>
            </w:r>
            <w:r w:rsidR="004D408F" w:rsidRPr="00A82993">
              <w:rPr>
                <w:sz w:val="28"/>
                <w:szCs w:val="28"/>
              </w:rPr>
              <w:t xml:space="preserve">, ka DRN par transportlīdzekli </w:t>
            </w:r>
            <w:r w:rsidR="00E9730E" w:rsidRPr="00A82993">
              <w:rPr>
                <w:sz w:val="28"/>
                <w:szCs w:val="28"/>
              </w:rPr>
              <w:t>var</w:t>
            </w:r>
            <w:r w:rsidR="004D408F" w:rsidRPr="00A82993">
              <w:rPr>
                <w:sz w:val="28"/>
                <w:szCs w:val="28"/>
              </w:rPr>
              <w:t xml:space="preserve"> samaksāt, izmantojot dažādas maksāšanas iespējas, atvieglo nodokļu maksātājam DRN par transportlīdzekli maksāšanas procesu, jo nodokļu maksātājs var izvēlēties tam ērtāko maksāšanas veidu.</w:t>
            </w:r>
            <w:r w:rsidR="00E9730E" w:rsidRPr="00A82993">
              <w:rPr>
                <w:sz w:val="28"/>
                <w:szCs w:val="28"/>
              </w:rPr>
              <w:t xml:space="preserve"> </w:t>
            </w:r>
          </w:p>
          <w:p w14:paraId="4C32CE31" w14:textId="77777777" w:rsidR="00346269" w:rsidRPr="002E045F" w:rsidRDefault="007A3AE8" w:rsidP="00346269">
            <w:pPr>
              <w:jc w:val="both"/>
              <w:rPr>
                <w:iCs/>
                <w:sz w:val="28"/>
                <w:szCs w:val="28"/>
              </w:rPr>
            </w:pPr>
            <w:r w:rsidRPr="00A82993">
              <w:rPr>
                <w:iCs/>
                <w:sz w:val="28"/>
                <w:szCs w:val="28"/>
              </w:rPr>
              <w:t>Ja netiktu paredzēts</w:t>
            </w:r>
            <w:r w:rsidR="004D408F" w:rsidRPr="00A82993">
              <w:rPr>
                <w:iCs/>
                <w:sz w:val="28"/>
                <w:szCs w:val="28"/>
              </w:rPr>
              <w:t xml:space="preserve">, ka DRN par transportlīdzekli iespējams samaksāt CSDD, bet </w:t>
            </w:r>
            <w:r w:rsidRPr="00A82993">
              <w:rPr>
                <w:iCs/>
                <w:sz w:val="28"/>
                <w:szCs w:val="28"/>
              </w:rPr>
              <w:t>tiktu n</w:t>
            </w:r>
            <w:r w:rsidR="004D408F" w:rsidRPr="00A82993">
              <w:rPr>
                <w:iCs/>
                <w:sz w:val="28"/>
                <w:szCs w:val="28"/>
              </w:rPr>
              <w:t>ot</w:t>
            </w:r>
            <w:r w:rsidRPr="00A82993">
              <w:rPr>
                <w:iCs/>
                <w:sz w:val="28"/>
                <w:szCs w:val="28"/>
              </w:rPr>
              <w:t>eikts</w:t>
            </w:r>
            <w:r w:rsidR="004D408F" w:rsidRPr="00A82993">
              <w:rPr>
                <w:iCs/>
                <w:sz w:val="28"/>
                <w:szCs w:val="28"/>
              </w:rPr>
              <w:t>, ka nodokļu maksātājam</w:t>
            </w:r>
            <w:r w:rsidR="00E9730E" w:rsidRPr="00A82993">
              <w:rPr>
                <w:iCs/>
                <w:sz w:val="28"/>
                <w:szCs w:val="28"/>
              </w:rPr>
              <w:t xml:space="preserve"> </w:t>
            </w:r>
            <w:r w:rsidR="0010129A" w:rsidRPr="00A82993">
              <w:rPr>
                <w:iCs/>
                <w:sz w:val="28"/>
                <w:szCs w:val="28"/>
              </w:rPr>
              <w:t xml:space="preserve">minētais nodoklis </w:t>
            </w:r>
            <w:r w:rsidR="00E9730E" w:rsidRPr="00A82993">
              <w:rPr>
                <w:iCs/>
                <w:sz w:val="28"/>
                <w:szCs w:val="28"/>
              </w:rPr>
              <w:t xml:space="preserve">(tieši nevis pastarpināti) </w:t>
            </w:r>
            <w:r w:rsidR="004D408F" w:rsidRPr="00A82993">
              <w:rPr>
                <w:iCs/>
                <w:sz w:val="28"/>
                <w:szCs w:val="28"/>
              </w:rPr>
              <w:t xml:space="preserve">ir jāiemaksā Kontā, </w:t>
            </w:r>
            <w:r w:rsidRPr="00A82993">
              <w:rPr>
                <w:iCs/>
                <w:sz w:val="28"/>
                <w:szCs w:val="28"/>
              </w:rPr>
              <w:t>tiktu</w:t>
            </w:r>
            <w:r w:rsidR="00C7688A" w:rsidRPr="00A82993">
              <w:rPr>
                <w:iCs/>
                <w:sz w:val="28"/>
                <w:szCs w:val="28"/>
              </w:rPr>
              <w:t xml:space="preserve"> </w:t>
            </w:r>
            <w:r w:rsidR="0010129A" w:rsidRPr="00A82993">
              <w:rPr>
                <w:iCs/>
                <w:sz w:val="28"/>
                <w:szCs w:val="28"/>
              </w:rPr>
              <w:t>sarežģī</w:t>
            </w:r>
            <w:r w:rsidR="00C7688A" w:rsidRPr="00A82993">
              <w:rPr>
                <w:iCs/>
                <w:sz w:val="28"/>
                <w:szCs w:val="28"/>
              </w:rPr>
              <w:t>ta</w:t>
            </w:r>
            <w:r w:rsidR="0010129A" w:rsidRPr="00A82993">
              <w:rPr>
                <w:iCs/>
                <w:sz w:val="28"/>
                <w:szCs w:val="28"/>
              </w:rPr>
              <w:t xml:space="preserve"> DRN </w:t>
            </w:r>
            <w:r w:rsidR="00C7688A" w:rsidRPr="00A82993">
              <w:rPr>
                <w:iCs/>
                <w:sz w:val="28"/>
                <w:szCs w:val="28"/>
              </w:rPr>
              <w:t>par transportlīdzekli iekasēšana</w:t>
            </w:r>
            <w:r w:rsidR="0010129A" w:rsidRPr="00A82993">
              <w:rPr>
                <w:iCs/>
                <w:sz w:val="28"/>
                <w:szCs w:val="28"/>
              </w:rPr>
              <w:t xml:space="preserve"> un apgrūtinā</w:t>
            </w:r>
            <w:r w:rsidR="00C7688A" w:rsidRPr="00A82993">
              <w:rPr>
                <w:iCs/>
                <w:sz w:val="28"/>
                <w:szCs w:val="28"/>
              </w:rPr>
              <w:t>ta</w:t>
            </w:r>
            <w:r w:rsidR="00217F14">
              <w:rPr>
                <w:iCs/>
                <w:sz w:val="28"/>
                <w:szCs w:val="28"/>
              </w:rPr>
              <w:t xml:space="preserve"> (tai skaitā arī paildzināta)</w:t>
            </w:r>
            <w:r w:rsidR="0010129A" w:rsidRPr="00A82993">
              <w:rPr>
                <w:iCs/>
                <w:sz w:val="28"/>
                <w:szCs w:val="28"/>
              </w:rPr>
              <w:t xml:space="preserve"> transportlīdzekļ</w:t>
            </w:r>
            <w:r w:rsidR="00C7688A" w:rsidRPr="00A82993">
              <w:rPr>
                <w:iCs/>
                <w:sz w:val="28"/>
                <w:szCs w:val="28"/>
              </w:rPr>
              <w:t>a</w:t>
            </w:r>
            <w:r w:rsidR="0010129A" w:rsidRPr="00A82993">
              <w:rPr>
                <w:iCs/>
                <w:sz w:val="28"/>
                <w:szCs w:val="28"/>
              </w:rPr>
              <w:t xml:space="preserve"> reģ</w:t>
            </w:r>
            <w:r w:rsidR="00C7688A" w:rsidRPr="00A82993">
              <w:rPr>
                <w:iCs/>
                <w:sz w:val="28"/>
                <w:szCs w:val="28"/>
              </w:rPr>
              <w:t>i</w:t>
            </w:r>
            <w:r w:rsidRPr="00A82993">
              <w:rPr>
                <w:iCs/>
                <w:sz w:val="28"/>
                <w:szCs w:val="28"/>
              </w:rPr>
              <w:t>strācijas procesa operativitāte</w:t>
            </w:r>
            <w:r w:rsidR="00217F14">
              <w:rPr>
                <w:iCs/>
                <w:sz w:val="28"/>
                <w:szCs w:val="28"/>
              </w:rPr>
              <w:t>, līdz ar to minētā nodokļa administrēšanas process vairs nebūtu tik efektīvs, kā</w:t>
            </w:r>
            <w:r w:rsidR="00B67C80">
              <w:rPr>
                <w:iCs/>
                <w:sz w:val="28"/>
                <w:szCs w:val="28"/>
              </w:rPr>
              <w:t xml:space="preserve"> tas ir nodrošināts</w:t>
            </w:r>
            <w:r w:rsidR="00217F14">
              <w:rPr>
                <w:iCs/>
                <w:sz w:val="28"/>
                <w:szCs w:val="28"/>
              </w:rPr>
              <w:t xml:space="preserve"> šobrīd</w:t>
            </w:r>
            <w:r w:rsidRPr="00A82993">
              <w:rPr>
                <w:iCs/>
                <w:sz w:val="28"/>
                <w:szCs w:val="28"/>
              </w:rPr>
              <w:t>. Proti,</w:t>
            </w:r>
            <w:r w:rsidR="0010129A" w:rsidRPr="00A82993">
              <w:rPr>
                <w:iCs/>
                <w:sz w:val="28"/>
                <w:szCs w:val="28"/>
              </w:rPr>
              <w:t xml:space="preserve"> </w:t>
            </w:r>
            <w:r w:rsidR="001E246D" w:rsidRPr="00A82993">
              <w:rPr>
                <w:iCs/>
                <w:sz w:val="28"/>
                <w:szCs w:val="28"/>
              </w:rPr>
              <w:t>transportlīdzekļ</w:t>
            </w:r>
            <w:r w:rsidR="00C7688A" w:rsidRPr="00A82993">
              <w:rPr>
                <w:iCs/>
                <w:sz w:val="28"/>
                <w:szCs w:val="28"/>
              </w:rPr>
              <w:t>a</w:t>
            </w:r>
            <w:r w:rsidR="001E246D" w:rsidRPr="00A82993">
              <w:rPr>
                <w:iCs/>
                <w:sz w:val="28"/>
                <w:szCs w:val="28"/>
              </w:rPr>
              <w:t xml:space="preserve"> uzskaite un reģistrācija, ievērojot normatīvos aktus, tiek veikta CSDD, nevis Valsts ieņēmumu dienestā (turpmāk – VID)</w:t>
            </w:r>
            <w:r w:rsidR="0010129A" w:rsidRPr="00A82993">
              <w:rPr>
                <w:iCs/>
                <w:sz w:val="28"/>
                <w:szCs w:val="28"/>
              </w:rPr>
              <w:t>. Līdz ar to, ja tiktu noteikts, ka DRN par transportlīdzekli ir jāmaksā Kontā, tad būtu</w:t>
            </w:r>
            <w:r w:rsidR="001E246D" w:rsidRPr="00A82993">
              <w:rPr>
                <w:iCs/>
                <w:sz w:val="28"/>
                <w:szCs w:val="28"/>
              </w:rPr>
              <w:t xml:space="preserve"> jāveido papildu informācijas apmaiņas risinājum</w:t>
            </w:r>
            <w:r w:rsidR="0010129A" w:rsidRPr="00A82993">
              <w:rPr>
                <w:iCs/>
                <w:sz w:val="28"/>
                <w:szCs w:val="28"/>
              </w:rPr>
              <w:t>s</w:t>
            </w:r>
            <w:r w:rsidR="001E246D" w:rsidRPr="00A82993">
              <w:rPr>
                <w:iCs/>
                <w:sz w:val="28"/>
                <w:szCs w:val="28"/>
              </w:rPr>
              <w:t xml:space="preserve"> starp VID un CSDD</w:t>
            </w:r>
            <w:r w:rsidR="00C7688A" w:rsidRPr="00A82993">
              <w:rPr>
                <w:iCs/>
                <w:sz w:val="28"/>
                <w:szCs w:val="28"/>
              </w:rPr>
              <w:t xml:space="preserve"> par Kontā saņemtajiem maksājumiem, lai CSDD</w:t>
            </w:r>
            <w:r w:rsidR="00E9730E" w:rsidRPr="00A82993">
              <w:rPr>
                <w:iCs/>
                <w:sz w:val="28"/>
                <w:szCs w:val="28"/>
              </w:rPr>
              <w:t xml:space="preserve"> </w:t>
            </w:r>
            <w:r w:rsidRPr="00A82993">
              <w:rPr>
                <w:iCs/>
                <w:sz w:val="28"/>
                <w:szCs w:val="28"/>
              </w:rPr>
              <w:t xml:space="preserve">pirms transportlīdzekļa reģistrācijas </w:t>
            </w:r>
            <w:r w:rsidR="00C7688A" w:rsidRPr="00A82993">
              <w:rPr>
                <w:iCs/>
                <w:sz w:val="28"/>
                <w:szCs w:val="28"/>
              </w:rPr>
              <w:t>varētu pārliecināties, ka DRN par transportlīdzekli ir samaksāts</w:t>
            </w:r>
            <w:r w:rsidR="00E9730E" w:rsidRPr="00A82993">
              <w:rPr>
                <w:iCs/>
                <w:sz w:val="28"/>
                <w:szCs w:val="28"/>
              </w:rPr>
              <w:t>, kā to paredz Dabas resursu nodokļa likuma 27.panta piektā daļa</w:t>
            </w:r>
            <w:r w:rsidR="00C7688A" w:rsidRPr="00A82993">
              <w:rPr>
                <w:iCs/>
                <w:sz w:val="28"/>
                <w:szCs w:val="28"/>
              </w:rPr>
              <w:t>. Papildu informācijas apmaiņas nepieciešamība</w:t>
            </w:r>
            <w:r w:rsidR="001E246D" w:rsidRPr="00A82993">
              <w:rPr>
                <w:iCs/>
                <w:sz w:val="28"/>
                <w:szCs w:val="28"/>
              </w:rPr>
              <w:t xml:space="preserve"> rad</w:t>
            </w:r>
            <w:r w:rsidR="0010129A" w:rsidRPr="00A82993">
              <w:rPr>
                <w:iCs/>
                <w:sz w:val="28"/>
                <w:szCs w:val="28"/>
              </w:rPr>
              <w:t>ī</w:t>
            </w:r>
            <w:r w:rsidRPr="00A82993">
              <w:rPr>
                <w:iCs/>
                <w:sz w:val="28"/>
                <w:szCs w:val="28"/>
              </w:rPr>
              <w:t>tu</w:t>
            </w:r>
            <w:r w:rsidR="001E246D" w:rsidRPr="00A82993">
              <w:rPr>
                <w:iCs/>
                <w:sz w:val="28"/>
                <w:szCs w:val="28"/>
              </w:rPr>
              <w:t xml:space="preserve"> izmaksas</w:t>
            </w:r>
            <w:r w:rsidR="00C7688A" w:rsidRPr="00A82993">
              <w:rPr>
                <w:iCs/>
                <w:sz w:val="28"/>
                <w:szCs w:val="28"/>
              </w:rPr>
              <w:t xml:space="preserve"> DRN par transportlīdzekli administrēšanā un iekasēšanā </w:t>
            </w:r>
            <w:r w:rsidR="001E246D" w:rsidRPr="00A82993">
              <w:rPr>
                <w:iCs/>
                <w:sz w:val="28"/>
                <w:szCs w:val="28"/>
              </w:rPr>
              <w:t>iesaistītajām pusēm</w:t>
            </w:r>
            <w:r w:rsidRPr="00A82993">
              <w:rPr>
                <w:iCs/>
                <w:sz w:val="28"/>
                <w:szCs w:val="28"/>
              </w:rPr>
              <w:t xml:space="preserve"> (proti, VID un CSDD)</w:t>
            </w:r>
            <w:r w:rsidR="001E246D" w:rsidRPr="00A82993">
              <w:rPr>
                <w:iCs/>
                <w:sz w:val="28"/>
                <w:szCs w:val="28"/>
              </w:rPr>
              <w:t xml:space="preserve">, kā arī </w:t>
            </w:r>
            <w:r w:rsidRPr="00A82993">
              <w:rPr>
                <w:iCs/>
                <w:sz w:val="28"/>
                <w:szCs w:val="28"/>
              </w:rPr>
              <w:t>būtu</w:t>
            </w:r>
            <w:r w:rsidR="001E246D" w:rsidRPr="00A82993">
              <w:rPr>
                <w:iCs/>
                <w:sz w:val="28"/>
                <w:szCs w:val="28"/>
              </w:rPr>
              <w:t xml:space="preserve"> jāparedz laiks informācijas apmaiņas </w:t>
            </w:r>
            <w:r w:rsidR="00E9730E" w:rsidRPr="00A82993">
              <w:rPr>
                <w:iCs/>
                <w:sz w:val="28"/>
                <w:szCs w:val="28"/>
              </w:rPr>
              <w:t xml:space="preserve">par saņemtajiem maksājumiem </w:t>
            </w:r>
            <w:r w:rsidR="001E246D" w:rsidRPr="00A82993">
              <w:rPr>
                <w:iCs/>
                <w:sz w:val="28"/>
                <w:szCs w:val="28"/>
              </w:rPr>
              <w:t xml:space="preserve">nodrošināšanai, un nodokļu maksātājam šādā situācijā </w:t>
            </w:r>
            <w:r w:rsidRPr="00A82993">
              <w:rPr>
                <w:iCs/>
                <w:sz w:val="28"/>
                <w:szCs w:val="28"/>
              </w:rPr>
              <w:t>nebūtu</w:t>
            </w:r>
            <w:r w:rsidR="001E246D" w:rsidRPr="00A82993">
              <w:rPr>
                <w:iCs/>
                <w:sz w:val="28"/>
                <w:szCs w:val="28"/>
              </w:rPr>
              <w:t xml:space="preserve"> iespēja operatīvi veikt reģistrācijas darbības CSDD.</w:t>
            </w:r>
            <w:r w:rsidR="00857072" w:rsidRPr="00A82993">
              <w:rPr>
                <w:iCs/>
                <w:sz w:val="28"/>
                <w:szCs w:val="28"/>
              </w:rPr>
              <w:t xml:space="preserve"> </w:t>
            </w:r>
            <w:r w:rsidR="00346269" w:rsidRPr="002E045F">
              <w:rPr>
                <w:iCs/>
                <w:sz w:val="28"/>
                <w:szCs w:val="28"/>
              </w:rPr>
              <w:t>Vienlaikus transportlīdzekļu reģistrācija nenotik</w:t>
            </w:r>
            <w:r w:rsidR="00217F14" w:rsidRPr="002E045F">
              <w:rPr>
                <w:iCs/>
                <w:sz w:val="28"/>
                <w:szCs w:val="28"/>
              </w:rPr>
              <w:t>tu</w:t>
            </w:r>
            <w:r w:rsidR="00346269" w:rsidRPr="002E045F">
              <w:rPr>
                <w:iCs/>
                <w:sz w:val="28"/>
                <w:szCs w:val="28"/>
              </w:rPr>
              <w:t xml:space="preserve"> tikpat operatīvi kā līdz šim, jo Kontā saņemtie maksājumi tik</w:t>
            </w:r>
            <w:r w:rsidR="00217F14" w:rsidRPr="002E045F">
              <w:rPr>
                <w:iCs/>
                <w:sz w:val="28"/>
                <w:szCs w:val="28"/>
              </w:rPr>
              <w:t>tu</w:t>
            </w:r>
            <w:r w:rsidR="00346269" w:rsidRPr="002E045F">
              <w:rPr>
                <w:iCs/>
                <w:sz w:val="28"/>
                <w:szCs w:val="28"/>
              </w:rPr>
              <w:t xml:space="preserve"> novirzīti maksājumu saistību segšanai, ievērojot Ministru kabineta 2018.gada 30.oktobra noteikumus Nr.661 “Kārtība, kādā maksā nodokļus, nodevas, citus valsts noteiktos maksājumus un ar </w:t>
            </w:r>
            <w:r w:rsidR="00346269" w:rsidRPr="002E045F">
              <w:rPr>
                <w:iCs/>
                <w:sz w:val="28"/>
                <w:szCs w:val="28"/>
              </w:rPr>
              <w:lastRenderedPageBreak/>
              <w:t>tiem saistītos maksājumus un novirza tos saistību segšanai”, proti vispirms uz vecāko nodokļa maksātāja saistību. Līdz ar to, ja nodokļu maksātājam bū</w:t>
            </w:r>
            <w:r w:rsidR="00217F14" w:rsidRPr="002E045F">
              <w:rPr>
                <w:iCs/>
                <w:sz w:val="28"/>
                <w:szCs w:val="28"/>
              </w:rPr>
              <w:t>tu</w:t>
            </w:r>
            <w:r w:rsidR="00346269" w:rsidRPr="002E045F">
              <w:rPr>
                <w:iCs/>
                <w:sz w:val="28"/>
                <w:szCs w:val="28"/>
              </w:rPr>
              <w:t xml:space="preserve"> citi nodokļu parādi, Kontā saņemtais maksājums (pat ja nodokļu maksātājs būs vēlējies samaksāt DRN par transportlīdzekli) vispirms tik</w:t>
            </w:r>
            <w:r w:rsidR="00217F14" w:rsidRPr="002E045F">
              <w:rPr>
                <w:iCs/>
                <w:sz w:val="28"/>
                <w:szCs w:val="28"/>
              </w:rPr>
              <w:t>tu</w:t>
            </w:r>
            <w:r w:rsidR="00346269" w:rsidRPr="002E045F">
              <w:rPr>
                <w:iCs/>
                <w:sz w:val="28"/>
                <w:szCs w:val="28"/>
              </w:rPr>
              <w:t xml:space="preserve"> novirzīts uz vecākām saistībām. </w:t>
            </w:r>
          </w:p>
          <w:p w14:paraId="541CFF3F" w14:textId="77777777" w:rsidR="00346269" w:rsidRPr="002E045F" w:rsidRDefault="00346269" w:rsidP="00346269">
            <w:pPr>
              <w:jc w:val="both"/>
              <w:rPr>
                <w:iCs/>
                <w:sz w:val="28"/>
                <w:szCs w:val="28"/>
              </w:rPr>
            </w:pPr>
            <w:r w:rsidRPr="002E045F">
              <w:rPr>
                <w:iCs/>
                <w:sz w:val="28"/>
                <w:szCs w:val="28"/>
              </w:rPr>
              <w:t>Ministru kabineta 2010.gada 12.oktobra noteikumu Nr.972 “Noteikumi par kārtību, kā veicami maksājumi valsts budžetā un tie atzīstami par saņemtiem, un prasībām tiešsaistes maksājumu pakalpojumu izmantošanai norēķinos ar valsts budžetu” 4.punkts nosaka, ka šo noteikumu 3.punktā minēto maksājumu pakalpojumu veidu izmantošanu norēķinos ar valsts budžetu nosaka tiesību akti, saskaņā ar kuriem veicams maksājums valsts budžetā. Ja minētajos tiesību aktos nav norādīts izmantojamais maksājuma pakalpojuma veids, norēķinos ar valsts budžetu izmanto šo noteikumu 3.2.apakšpunktā minēto maksājuma pakalpojumu, kā arī šo noteikumu 3.3. un 3.4.apakšpunktā minēto maksājuma pakalpojumu, ja valsts budžeta maksājumus administrējošā institūcija vai starpniekinstitūcija tehniski nodrošina šāda maksājuma pakalpojuma veida izmantošanu.</w:t>
            </w:r>
          </w:p>
          <w:p w14:paraId="7778FEBB" w14:textId="77777777" w:rsidR="004D408F" w:rsidRPr="00A82993" w:rsidRDefault="00857072" w:rsidP="00346269">
            <w:pPr>
              <w:jc w:val="both"/>
              <w:rPr>
                <w:iCs/>
                <w:sz w:val="28"/>
                <w:szCs w:val="28"/>
              </w:rPr>
            </w:pPr>
            <w:r w:rsidRPr="002E045F">
              <w:rPr>
                <w:iCs/>
                <w:sz w:val="28"/>
                <w:szCs w:val="28"/>
              </w:rPr>
              <w:t>T</w:t>
            </w:r>
            <w:r w:rsidR="00346269" w:rsidRPr="002E045F">
              <w:rPr>
                <w:iCs/>
                <w:sz w:val="28"/>
                <w:szCs w:val="28"/>
              </w:rPr>
              <w:t>ādējādi</w:t>
            </w:r>
            <w:r w:rsidRPr="002E045F">
              <w:rPr>
                <w:iCs/>
                <w:sz w:val="28"/>
                <w:szCs w:val="28"/>
              </w:rPr>
              <w:t>, ja tiktu noteikts, ka DRN par transportlīdzekli pirms transportlīdzekļa reģistrācijas ir jāmaksā</w:t>
            </w:r>
            <w:r w:rsidR="00E9730E" w:rsidRPr="002E045F">
              <w:rPr>
                <w:iCs/>
                <w:sz w:val="28"/>
                <w:szCs w:val="28"/>
              </w:rPr>
              <w:t xml:space="preserve"> tieši (nevis pastarpināti, izmantojot</w:t>
            </w:r>
            <w:r w:rsidR="00E46844" w:rsidRPr="002E045F">
              <w:rPr>
                <w:iCs/>
                <w:sz w:val="28"/>
                <w:szCs w:val="28"/>
              </w:rPr>
              <w:t xml:space="preserve"> maksāšanas iespējas</w:t>
            </w:r>
            <w:r w:rsidR="00E9730E" w:rsidRPr="002E045F">
              <w:rPr>
                <w:iCs/>
                <w:sz w:val="28"/>
                <w:szCs w:val="28"/>
              </w:rPr>
              <w:t xml:space="preserve"> CSDD) </w:t>
            </w:r>
            <w:r w:rsidRPr="002E045F">
              <w:rPr>
                <w:iCs/>
                <w:sz w:val="28"/>
                <w:szCs w:val="28"/>
              </w:rPr>
              <w:t xml:space="preserve">Kontā, nebūtu iespējams saglabāt iespēju, ka minēto nodokli ir iespējams </w:t>
            </w:r>
            <w:r w:rsidR="00346269" w:rsidRPr="002E045F">
              <w:rPr>
                <w:iCs/>
                <w:sz w:val="28"/>
                <w:szCs w:val="28"/>
              </w:rPr>
              <w:t>samaksāt</w:t>
            </w:r>
            <w:r w:rsidRPr="002E045F">
              <w:rPr>
                <w:iCs/>
                <w:sz w:val="28"/>
                <w:szCs w:val="28"/>
              </w:rPr>
              <w:t xml:space="preserve"> </w:t>
            </w:r>
            <w:r w:rsidR="00E9730E" w:rsidRPr="002E045F">
              <w:rPr>
                <w:iCs/>
                <w:sz w:val="28"/>
                <w:szCs w:val="28"/>
              </w:rPr>
              <w:t xml:space="preserve">ar maksājumu karti vai </w:t>
            </w:r>
            <w:r w:rsidRPr="002E045F">
              <w:rPr>
                <w:iCs/>
                <w:sz w:val="28"/>
                <w:szCs w:val="28"/>
              </w:rPr>
              <w:t>skaidrā naud</w:t>
            </w:r>
            <w:r w:rsidR="00FB78C4" w:rsidRPr="002E045F">
              <w:rPr>
                <w:iCs/>
                <w:sz w:val="28"/>
                <w:szCs w:val="28"/>
              </w:rPr>
              <w:t>ā, jo normatīvie akti neparedz, ka maksājumus Kontā iespējams veikt skaidrā naudā vai ar maksājumu karti, kā arī VID normatīvajos aktos nav noteikts pienākums DRN iekasēt, izmantojot maksājumu kartes vai skaidru naudu.</w:t>
            </w:r>
          </w:p>
          <w:p w14:paraId="449D249C" w14:textId="6258ABE2" w:rsidR="001253EF" w:rsidRDefault="00FB78C4" w:rsidP="00346269">
            <w:pPr>
              <w:jc w:val="both"/>
              <w:rPr>
                <w:iCs/>
                <w:sz w:val="28"/>
                <w:szCs w:val="28"/>
              </w:rPr>
            </w:pPr>
            <w:r w:rsidRPr="00A82993">
              <w:rPr>
                <w:iCs/>
                <w:sz w:val="28"/>
                <w:szCs w:val="28"/>
              </w:rPr>
              <w:t>Likuma “Par nodokļiem un nodevām” 23.</w:t>
            </w:r>
            <w:r w:rsidRPr="00A82993">
              <w:rPr>
                <w:iCs/>
                <w:sz w:val="28"/>
                <w:szCs w:val="28"/>
                <w:vertAlign w:val="superscript"/>
              </w:rPr>
              <w:t>1</w:t>
            </w:r>
            <w:r w:rsidRPr="00A82993">
              <w:rPr>
                <w:iCs/>
                <w:sz w:val="28"/>
                <w:szCs w:val="28"/>
              </w:rPr>
              <w:t xml:space="preserve">panta </w:t>
            </w:r>
            <w:r w:rsidR="00D43332" w:rsidRPr="00A82993">
              <w:rPr>
                <w:iCs/>
                <w:sz w:val="28"/>
                <w:szCs w:val="28"/>
              </w:rPr>
              <w:t xml:space="preserve">pirmā daļa nosaka, ka nodokļu maksātājs Kontā iemaksā minētajā pantā noteiktos VID administrētos nodokļus, nodevas, citus valsts noteiktos maksājumus un ar tiem saistītos maksājumus. Savukārt noteikumu projektā </w:t>
            </w:r>
            <w:r w:rsidR="005B1D7F">
              <w:rPr>
                <w:iCs/>
                <w:sz w:val="28"/>
                <w:szCs w:val="28"/>
              </w:rPr>
              <w:lastRenderedPageBreak/>
              <w:t>noteiktais regulējums</w:t>
            </w:r>
            <w:r w:rsidR="00D43332" w:rsidRPr="00A82993">
              <w:rPr>
                <w:iCs/>
                <w:sz w:val="28"/>
                <w:szCs w:val="28"/>
              </w:rPr>
              <w:t xml:space="preserve"> paredz, ka DRN par transportlīdzekli Kontā tiek iemaks</w:t>
            </w:r>
            <w:r w:rsidR="00503BCD" w:rsidRPr="00A82993">
              <w:rPr>
                <w:iCs/>
                <w:sz w:val="28"/>
                <w:szCs w:val="28"/>
              </w:rPr>
              <w:t>āt</w:t>
            </w:r>
            <w:r w:rsidR="00D43332" w:rsidRPr="00A82993">
              <w:rPr>
                <w:iCs/>
                <w:sz w:val="28"/>
                <w:szCs w:val="28"/>
              </w:rPr>
              <w:t xml:space="preserve">s pastarpināti, proti, izmantojot </w:t>
            </w:r>
            <w:r w:rsidR="00217F14">
              <w:rPr>
                <w:iCs/>
                <w:sz w:val="28"/>
                <w:szCs w:val="28"/>
              </w:rPr>
              <w:t xml:space="preserve">normatīvajā regulējumā paredzētās </w:t>
            </w:r>
            <w:r w:rsidR="00E46844" w:rsidRPr="00A82993">
              <w:rPr>
                <w:iCs/>
                <w:sz w:val="28"/>
                <w:szCs w:val="28"/>
              </w:rPr>
              <w:t xml:space="preserve">maksāšanas iespējas </w:t>
            </w:r>
            <w:r w:rsidR="00D43332" w:rsidRPr="00A82993">
              <w:rPr>
                <w:iCs/>
                <w:sz w:val="28"/>
                <w:szCs w:val="28"/>
              </w:rPr>
              <w:t xml:space="preserve">CSDD. Noteikumu projekta regulējums nemaina esošo situāciju, jo arī šobrīd spēkā esošie normatīvie akti paredz, ka DRN par transportlīdzekli valsts budžeta ieņēmumu kontā nodokļu maksātājs </w:t>
            </w:r>
            <w:r w:rsidR="003F174E">
              <w:rPr>
                <w:iCs/>
                <w:sz w:val="28"/>
                <w:szCs w:val="28"/>
              </w:rPr>
              <w:t xml:space="preserve">var </w:t>
            </w:r>
            <w:r w:rsidR="00D43332" w:rsidRPr="00A82993">
              <w:rPr>
                <w:iCs/>
                <w:sz w:val="28"/>
                <w:szCs w:val="28"/>
              </w:rPr>
              <w:t xml:space="preserve">veikt pastarpināti, proti, izmantojot </w:t>
            </w:r>
            <w:r w:rsidR="00E46844" w:rsidRPr="009F1D75">
              <w:rPr>
                <w:iCs/>
                <w:sz w:val="28"/>
                <w:szCs w:val="28"/>
              </w:rPr>
              <w:t xml:space="preserve">maksāšanas iespējas </w:t>
            </w:r>
            <w:r w:rsidR="00D43332" w:rsidRPr="009F1D75">
              <w:rPr>
                <w:iCs/>
                <w:sz w:val="28"/>
                <w:szCs w:val="28"/>
              </w:rPr>
              <w:t>CSDD</w:t>
            </w:r>
            <w:r w:rsidR="00B67C80" w:rsidRPr="009F1D75">
              <w:rPr>
                <w:iCs/>
                <w:sz w:val="28"/>
                <w:szCs w:val="28"/>
              </w:rPr>
              <w:t>. N</w:t>
            </w:r>
            <w:r w:rsidR="00711ACD" w:rsidRPr="009F1D75">
              <w:rPr>
                <w:iCs/>
                <w:sz w:val="28"/>
                <w:szCs w:val="28"/>
              </w:rPr>
              <w:t xml:space="preserve">eskatoties uz to, ka normatīvais regulējums </w:t>
            </w:r>
            <w:r w:rsidR="00B67C80" w:rsidRPr="009F1D75">
              <w:rPr>
                <w:iCs/>
                <w:sz w:val="28"/>
                <w:szCs w:val="28"/>
              </w:rPr>
              <w:t>paredz iespēju DRN par transportlīdzekli samaksāt, izmantojot maksāšanas iespējas CSDD, DRN par transportlīdzekli maksātājs gan šobrīd, gan no 2021.gada 1.janvāra</w:t>
            </w:r>
            <w:r w:rsidR="00542A8E" w:rsidRPr="009F1D75">
              <w:rPr>
                <w:iCs/>
                <w:sz w:val="28"/>
                <w:szCs w:val="28"/>
              </w:rPr>
              <w:t xml:space="preserve"> nemainīgi</w:t>
            </w:r>
            <w:r w:rsidR="00B67C80" w:rsidRPr="009F1D75">
              <w:rPr>
                <w:iCs/>
                <w:sz w:val="28"/>
                <w:szCs w:val="28"/>
              </w:rPr>
              <w:t xml:space="preserve"> ir persona, kas pirmo reizi pastāvīgi reģistrē Latvijā transportlīdzekļus, uz kuriem attiecas Nolietotu transportlīdzekļu apsaimniek</w:t>
            </w:r>
            <w:r w:rsidR="00542A8E" w:rsidRPr="009F1D75">
              <w:rPr>
                <w:iCs/>
                <w:sz w:val="28"/>
                <w:szCs w:val="28"/>
              </w:rPr>
              <w:t>ošanas likuma 3.panta pirmā daļa</w:t>
            </w:r>
            <w:r w:rsidR="00B67C80" w:rsidRPr="009F1D75">
              <w:rPr>
                <w:iCs/>
                <w:sz w:val="28"/>
                <w:szCs w:val="28"/>
              </w:rPr>
              <w:t>. Tādējādi</w:t>
            </w:r>
            <w:r w:rsidR="00542A8E" w:rsidRPr="009F1D75">
              <w:rPr>
                <w:iCs/>
                <w:sz w:val="28"/>
                <w:szCs w:val="28"/>
              </w:rPr>
              <w:t>, nosakot, ka CSDD iemaksā Kontā iekasēto DRN par transportlīdzekli, nemaina nosacījumu, ka DRN par transportlīdzekli maksātājs ir persona, kas pirmo reizi pastāvīgi reģistrē Latvijā transportlīdzekļus, uz kuriem attiecas Nolietotu transportlīdzekļu apsaimnieko</w:t>
            </w:r>
            <w:r w:rsidR="009F1D75" w:rsidRPr="009F1D75">
              <w:rPr>
                <w:iCs/>
                <w:sz w:val="28"/>
                <w:szCs w:val="28"/>
              </w:rPr>
              <w:t>šanas likuma 3.panta pirmā daļa.</w:t>
            </w:r>
            <w:r w:rsidR="001253EF">
              <w:rPr>
                <w:iCs/>
                <w:sz w:val="28"/>
                <w:szCs w:val="28"/>
              </w:rPr>
              <w:t xml:space="preserve"> </w:t>
            </w:r>
          </w:p>
          <w:p w14:paraId="101718F9" w14:textId="40AAA6C4" w:rsidR="001253EF" w:rsidRDefault="001253EF" w:rsidP="00346269">
            <w:pPr>
              <w:jc w:val="both"/>
              <w:rPr>
                <w:iCs/>
                <w:sz w:val="28"/>
                <w:szCs w:val="28"/>
              </w:rPr>
            </w:pPr>
            <w:r>
              <w:rPr>
                <w:iCs/>
                <w:sz w:val="28"/>
                <w:szCs w:val="28"/>
              </w:rPr>
              <w:t>Lai arī l</w:t>
            </w:r>
            <w:r w:rsidRPr="00A82993">
              <w:rPr>
                <w:iCs/>
                <w:sz w:val="28"/>
                <w:szCs w:val="28"/>
              </w:rPr>
              <w:t>ikuma “Par nodokļiem un nodevām” 23.</w:t>
            </w:r>
            <w:r w:rsidRPr="00A82993">
              <w:rPr>
                <w:iCs/>
                <w:sz w:val="28"/>
                <w:szCs w:val="28"/>
                <w:vertAlign w:val="superscript"/>
              </w:rPr>
              <w:t>1</w:t>
            </w:r>
            <w:r w:rsidRPr="00A82993">
              <w:rPr>
                <w:iCs/>
                <w:sz w:val="28"/>
                <w:szCs w:val="28"/>
              </w:rPr>
              <w:t>panta pirmā daļa nosaka, ka nodokļu maksātājs Kontā iemaksā minētajā pantā noteiktos VID administrētos nodokļus, nodevas, citus valsts noteiktos maksājumus un ar tiem saistītos maksājumus</w:t>
            </w:r>
            <w:r>
              <w:rPr>
                <w:iCs/>
                <w:sz w:val="28"/>
                <w:szCs w:val="28"/>
              </w:rPr>
              <w:t>, likumdevēj</w:t>
            </w:r>
            <w:r w:rsidR="005B1D7F">
              <w:rPr>
                <w:iCs/>
                <w:sz w:val="28"/>
                <w:szCs w:val="28"/>
              </w:rPr>
              <w:t>a</w:t>
            </w:r>
            <w:r>
              <w:rPr>
                <w:iCs/>
                <w:sz w:val="28"/>
                <w:szCs w:val="28"/>
              </w:rPr>
              <w:t xml:space="preserve"> mērķis nebija noteikt, ka maksājumu </w:t>
            </w:r>
            <w:r w:rsidR="005169CA">
              <w:rPr>
                <w:iCs/>
                <w:sz w:val="28"/>
                <w:szCs w:val="28"/>
              </w:rPr>
              <w:t>Kontā personīgi (</w:t>
            </w:r>
            <w:r w:rsidR="00702C7F">
              <w:rPr>
                <w:iCs/>
                <w:sz w:val="28"/>
                <w:szCs w:val="28"/>
              </w:rPr>
              <w:t xml:space="preserve">t.i., </w:t>
            </w:r>
            <w:r w:rsidR="005169CA">
              <w:rPr>
                <w:iCs/>
                <w:sz w:val="28"/>
                <w:szCs w:val="28"/>
              </w:rPr>
              <w:t>fiziski)</w:t>
            </w:r>
            <w:r>
              <w:rPr>
                <w:iCs/>
                <w:sz w:val="28"/>
                <w:szCs w:val="28"/>
              </w:rPr>
              <w:t xml:space="preserve"> veic pats nodokļu maksātājs, bet gan</w:t>
            </w:r>
            <w:r w:rsidR="005169CA">
              <w:rPr>
                <w:iCs/>
                <w:sz w:val="28"/>
                <w:szCs w:val="28"/>
              </w:rPr>
              <w:t xml:space="preserve"> noteikt</w:t>
            </w:r>
            <w:r>
              <w:rPr>
                <w:iCs/>
                <w:sz w:val="28"/>
                <w:szCs w:val="28"/>
              </w:rPr>
              <w:t xml:space="preserve">, ka </w:t>
            </w:r>
            <w:r w:rsidR="00A07F2B">
              <w:rPr>
                <w:iCs/>
                <w:sz w:val="28"/>
                <w:szCs w:val="28"/>
              </w:rPr>
              <w:t xml:space="preserve">nodokļi ir maksājami Kontā </w:t>
            </w:r>
            <w:r>
              <w:rPr>
                <w:iCs/>
                <w:sz w:val="28"/>
                <w:szCs w:val="28"/>
              </w:rPr>
              <w:t xml:space="preserve">un kādi nodokļi ir maksājami Kontā. Turklāt arī </w:t>
            </w:r>
            <w:r w:rsidRPr="002E045F">
              <w:rPr>
                <w:iCs/>
                <w:sz w:val="28"/>
                <w:szCs w:val="28"/>
              </w:rPr>
              <w:t>Ministru kabineta 2018.gada 30.oktobra noteikumu Nr.661 “Kārtība, kādā maksā nodokļus, nodevas, citus valsts noteiktos maksājumus un ar tiem saistītos maksājumus un novirza tos saistību segšanai”</w:t>
            </w:r>
            <w:r>
              <w:rPr>
                <w:iCs/>
                <w:sz w:val="28"/>
                <w:szCs w:val="28"/>
              </w:rPr>
              <w:t xml:space="preserve"> 6.punktā ir noteikta kārtība, kas ir jāievēro, veicot Kontā maksājumu par trešo personu. Tāpat normatīvajos aktos ir noteikti arī citi gadījumi, kad nodokli nodokļu maksātājs samaksā pastarpināti, piemēram, saskaņā ar Iedzīvotāju ienākuma nodokļa 4.panta pirmās daļas </w:t>
            </w:r>
            <w:r>
              <w:rPr>
                <w:iCs/>
                <w:sz w:val="28"/>
                <w:szCs w:val="28"/>
              </w:rPr>
              <w:lastRenderedPageBreak/>
              <w:t xml:space="preserve">1.punktu algas nodokli aprēķina un budžetā iemaksā nodokļu maksātāja darba devējs. </w:t>
            </w:r>
            <w:r w:rsidR="005169CA">
              <w:rPr>
                <w:iCs/>
                <w:sz w:val="28"/>
                <w:szCs w:val="28"/>
              </w:rPr>
              <w:t>Likuma “Par valsts sociālo apdrošināšanu” 21.panta otrā daļa nosaka, ka d</w:t>
            </w:r>
            <w:r w:rsidR="005169CA" w:rsidRPr="005169CA">
              <w:rPr>
                <w:iCs/>
                <w:sz w:val="28"/>
                <w:szCs w:val="28"/>
              </w:rPr>
              <w:t>arba ņēmējs veic obligātās iemaksas ar darba devēja starpniecību. Darba devējs ietur iemaksas, kas jāveic darba ņēmējam, un iemaksā tās speciālā budžeta kontā šā panta pirmajā daļā noteiktajos termiņos.</w:t>
            </w:r>
            <w:r w:rsidR="005169CA">
              <w:rPr>
                <w:iCs/>
                <w:sz w:val="28"/>
                <w:szCs w:val="28"/>
              </w:rPr>
              <w:t xml:space="preserve"> Ņemot vērā minēto, arī uz DRN par </w:t>
            </w:r>
            <w:r w:rsidR="005169CA" w:rsidRPr="00B67C80">
              <w:rPr>
                <w:sz w:val="28"/>
                <w:szCs w:val="28"/>
              </w:rPr>
              <w:t>transportlīd</w:t>
            </w:r>
            <w:r w:rsidR="005169CA">
              <w:rPr>
                <w:sz w:val="28"/>
                <w:szCs w:val="28"/>
              </w:rPr>
              <w:t>zekli iespējams attiecināt principu, ka minēto nodokli nodokļu maksātājs pastarpināti, izmantojot maksājumu veikšanas iespējas CSDD, samaksā Kontā.</w:t>
            </w:r>
          </w:p>
          <w:p w14:paraId="337F6B2B" w14:textId="77777777" w:rsidR="00E6236D" w:rsidRPr="00A82993" w:rsidRDefault="00E6236D" w:rsidP="00E6236D">
            <w:pPr>
              <w:jc w:val="both"/>
              <w:rPr>
                <w:bCs/>
                <w:sz w:val="28"/>
                <w:szCs w:val="28"/>
              </w:rPr>
            </w:pPr>
            <w:r w:rsidRPr="00B67C80">
              <w:rPr>
                <w:sz w:val="28"/>
                <w:szCs w:val="28"/>
              </w:rPr>
              <w:t xml:space="preserve">Tādējādi, lai nodrošinātu skaidru un nepārprotamu regulējumu DRN par transportlīdzekli maksāšanas kārtībā, kā arī saglabātu tikpat efektīvu minētā nodokļa iekasēšanu un dažādās maksāšanas iespējas, nepieciešams veikt grozījumus Ministru kabineta 2012.gada 22.maija </w:t>
            </w:r>
            <w:r w:rsidRPr="00B67C80">
              <w:rPr>
                <w:bCs/>
                <w:sz w:val="28"/>
                <w:szCs w:val="28"/>
              </w:rPr>
              <w:t>noteikumos Nr.361, precīzi nosakot, ka nodokļu maksātājam DRN par transportlīdzekli ir iespējams samaksāt CSDD, izmantojot dažādus maksājumu pakalpojumu veidus (skaidrā naudā, ar maksājumu karti, ar pārskaitījumu), un CSDD ir pienākums saņemtās nodokļu summas iemaksāt Kontā noteiktu dienu laikā.</w:t>
            </w:r>
            <w:r w:rsidRPr="00A82993">
              <w:rPr>
                <w:bCs/>
                <w:sz w:val="28"/>
                <w:szCs w:val="28"/>
              </w:rPr>
              <w:t xml:space="preserve"> </w:t>
            </w:r>
          </w:p>
          <w:p w14:paraId="3A3F2E35" w14:textId="77777777" w:rsidR="00FB78C4" w:rsidRPr="00A82993" w:rsidRDefault="00641E0F" w:rsidP="00FB78C4">
            <w:pPr>
              <w:jc w:val="both"/>
              <w:rPr>
                <w:iCs/>
                <w:sz w:val="28"/>
                <w:szCs w:val="28"/>
              </w:rPr>
            </w:pPr>
            <w:r w:rsidRPr="00A82993">
              <w:rPr>
                <w:iCs/>
                <w:sz w:val="28"/>
                <w:szCs w:val="28"/>
              </w:rPr>
              <w:t xml:space="preserve">Ņemot vērā </w:t>
            </w:r>
            <w:r w:rsidR="00C7688A" w:rsidRPr="00A82993">
              <w:rPr>
                <w:iCs/>
                <w:sz w:val="28"/>
                <w:szCs w:val="28"/>
              </w:rPr>
              <w:t xml:space="preserve">minēto, </w:t>
            </w:r>
            <w:r w:rsidR="00FB78C4" w:rsidRPr="00A82993">
              <w:rPr>
                <w:iCs/>
                <w:sz w:val="28"/>
                <w:szCs w:val="28"/>
              </w:rPr>
              <w:t xml:space="preserve">ar </w:t>
            </w:r>
            <w:r w:rsidR="00C7688A" w:rsidRPr="00A82993">
              <w:rPr>
                <w:iCs/>
                <w:sz w:val="28"/>
                <w:szCs w:val="28"/>
              </w:rPr>
              <w:t>noteikumu projekt</w:t>
            </w:r>
            <w:r w:rsidR="00FB78C4" w:rsidRPr="00A82993">
              <w:rPr>
                <w:iCs/>
                <w:sz w:val="28"/>
                <w:szCs w:val="28"/>
              </w:rPr>
              <w:t>ā ietverto regulējumu tiek noteikts,</w:t>
            </w:r>
            <w:r w:rsidR="00C7688A" w:rsidRPr="00A82993">
              <w:rPr>
                <w:iCs/>
                <w:sz w:val="28"/>
                <w:szCs w:val="28"/>
              </w:rPr>
              <w:t xml:space="preserve"> ka</w:t>
            </w:r>
            <w:r w:rsidR="00FB78C4" w:rsidRPr="00A82993">
              <w:rPr>
                <w:iCs/>
                <w:sz w:val="28"/>
                <w:szCs w:val="28"/>
              </w:rPr>
              <w:t>:</w:t>
            </w:r>
          </w:p>
          <w:p w14:paraId="24DC7C13" w14:textId="3894D3FA" w:rsidR="00FB78C4" w:rsidRPr="00A82993" w:rsidRDefault="00FB78C4" w:rsidP="00FB78C4">
            <w:pPr>
              <w:jc w:val="both"/>
              <w:rPr>
                <w:iCs/>
                <w:sz w:val="28"/>
                <w:szCs w:val="28"/>
              </w:rPr>
            </w:pPr>
            <w:r w:rsidRPr="00A82993">
              <w:rPr>
                <w:iCs/>
                <w:sz w:val="28"/>
                <w:szCs w:val="28"/>
              </w:rPr>
              <w:t>- </w:t>
            </w:r>
            <w:r w:rsidR="00641E0F" w:rsidRPr="00A82993">
              <w:rPr>
                <w:iCs/>
                <w:sz w:val="28"/>
                <w:szCs w:val="28"/>
              </w:rPr>
              <w:t xml:space="preserve">DRN par transportlīdzekli </w:t>
            </w:r>
            <w:r w:rsidR="00C7688A" w:rsidRPr="00A82993">
              <w:rPr>
                <w:iCs/>
                <w:sz w:val="28"/>
                <w:szCs w:val="28"/>
              </w:rPr>
              <w:t xml:space="preserve">iespējams samaksāt </w:t>
            </w:r>
            <w:r w:rsidR="00305238" w:rsidRPr="00A82993">
              <w:rPr>
                <w:iCs/>
                <w:sz w:val="28"/>
                <w:szCs w:val="28"/>
              </w:rPr>
              <w:t xml:space="preserve">CSDD </w:t>
            </w:r>
            <w:r w:rsidR="00C7688A" w:rsidRPr="00A82993">
              <w:rPr>
                <w:iCs/>
                <w:sz w:val="28"/>
                <w:szCs w:val="28"/>
              </w:rPr>
              <w:t>norādītajā norēķinu kontā, kas atvērts</w:t>
            </w:r>
            <w:r w:rsidR="00B9438F">
              <w:rPr>
                <w:iCs/>
                <w:sz w:val="28"/>
                <w:szCs w:val="28"/>
              </w:rPr>
              <w:t xml:space="preserve"> kredītiestādē vai Valsts kasē </w:t>
            </w:r>
            <w:r w:rsidR="007A3AE8" w:rsidRPr="00A82993">
              <w:rPr>
                <w:iCs/>
                <w:sz w:val="28"/>
                <w:szCs w:val="28"/>
              </w:rPr>
              <w:t>DRN par transportlīdzekli iekasēšanai</w:t>
            </w:r>
            <w:r w:rsidRPr="00A82993">
              <w:rPr>
                <w:iCs/>
                <w:sz w:val="28"/>
                <w:szCs w:val="28"/>
              </w:rPr>
              <w:t>;</w:t>
            </w:r>
          </w:p>
          <w:p w14:paraId="3990B00E" w14:textId="6FBDF71A" w:rsidR="00FB78C4" w:rsidRDefault="00FB78C4" w:rsidP="00FB78C4">
            <w:pPr>
              <w:jc w:val="both"/>
              <w:rPr>
                <w:iCs/>
                <w:sz w:val="28"/>
                <w:szCs w:val="28"/>
              </w:rPr>
            </w:pPr>
            <w:r w:rsidRPr="00A82993">
              <w:rPr>
                <w:iCs/>
                <w:sz w:val="28"/>
                <w:szCs w:val="28"/>
              </w:rPr>
              <w:t>- </w:t>
            </w:r>
            <w:r w:rsidR="007A3AE8" w:rsidRPr="00A82993">
              <w:rPr>
                <w:iCs/>
                <w:sz w:val="28"/>
                <w:szCs w:val="28"/>
              </w:rPr>
              <w:t>CSDD ir pienākums saņemtās nodokļa summas</w:t>
            </w:r>
            <w:r w:rsidR="005169CA">
              <w:rPr>
                <w:iCs/>
                <w:sz w:val="28"/>
                <w:szCs w:val="28"/>
              </w:rPr>
              <w:t xml:space="preserve">, </w:t>
            </w:r>
            <w:r w:rsidR="005169CA" w:rsidRPr="007705B8">
              <w:rPr>
                <w:sz w:val="28"/>
              </w:rPr>
              <w:t>norādot maksājuma identifikatoru</w:t>
            </w:r>
            <w:r w:rsidR="005169CA">
              <w:rPr>
                <w:sz w:val="28"/>
              </w:rPr>
              <w:t>,</w:t>
            </w:r>
            <w:r w:rsidR="007A3AE8" w:rsidRPr="00A82993">
              <w:rPr>
                <w:iCs/>
                <w:sz w:val="28"/>
                <w:szCs w:val="28"/>
              </w:rPr>
              <w:t xml:space="preserve"> triju darbdienu laikā ieskaitīt </w:t>
            </w:r>
            <w:r w:rsidR="00503BCD" w:rsidRPr="00A82993">
              <w:rPr>
                <w:iCs/>
                <w:sz w:val="28"/>
                <w:szCs w:val="28"/>
              </w:rPr>
              <w:t>Kontā;</w:t>
            </w:r>
          </w:p>
          <w:p w14:paraId="4AF9B1EF" w14:textId="43808134" w:rsidR="005169CA" w:rsidRPr="00A82993" w:rsidRDefault="005169CA" w:rsidP="00FB78C4">
            <w:pPr>
              <w:jc w:val="both"/>
              <w:rPr>
                <w:iCs/>
                <w:sz w:val="28"/>
                <w:szCs w:val="28"/>
              </w:rPr>
            </w:pPr>
            <w:r>
              <w:rPr>
                <w:iCs/>
                <w:sz w:val="28"/>
                <w:szCs w:val="28"/>
              </w:rPr>
              <w:t>- </w:t>
            </w:r>
            <w:r>
              <w:rPr>
                <w:sz w:val="28"/>
              </w:rPr>
              <w:t>CSDD</w:t>
            </w:r>
            <w:r w:rsidRPr="009D0F0D">
              <w:rPr>
                <w:sz w:val="28"/>
              </w:rPr>
              <w:t xml:space="preserve"> </w:t>
            </w:r>
            <w:r>
              <w:rPr>
                <w:iCs/>
                <w:sz w:val="28"/>
                <w:szCs w:val="28"/>
              </w:rPr>
              <w:t xml:space="preserve">skaidrā naudā un ar maksājumu kartēm iekasētās nodokļa summas, </w:t>
            </w:r>
            <w:r w:rsidRPr="007705B8">
              <w:rPr>
                <w:sz w:val="28"/>
              </w:rPr>
              <w:t>norādot maksājuma identifikatoru</w:t>
            </w:r>
            <w:r>
              <w:rPr>
                <w:sz w:val="28"/>
              </w:rPr>
              <w:t xml:space="preserve">, </w:t>
            </w:r>
            <w:r w:rsidRPr="00C032B6">
              <w:rPr>
                <w:sz w:val="28"/>
              </w:rPr>
              <w:t xml:space="preserve">triju darbdienu </w:t>
            </w:r>
            <w:r>
              <w:rPr>
                <w:sz w:val="28"/>
              </w:rPr>
              <w:t xml:space="preserve">laikā iemaksā vienotajā nodokļu kontā, </w:t>
            </w:r>
            <w:r w:rsidRPr="009D0F0D">
              <w:rPr>
                <w:sz w:val="28"/>
              </w:rPr>
              <w:t>neieskaitot</w:t>
            </w:r>
            <w:r>
              <w:rPr>
                <w:sz w:val="28"/>
              </w:rPr>
              <w:t xml:space="preserve"> tās </w:t>
            </w:r>
            <w:r w:rsidR="00726E3F">
              <w:rPr>
                <w:sz w:val="28"/>
              </w:rPr>
              <w:t>savā</w:t>
            </w:r>
            <w:r>
              <w:rPr>
                <w:sz w:val="28"/>
              </w:rPr>
              <w:t xml:space="preserve"> norēķinu kontā</w:t>
            </w:r>
            <w:r w:rsidRPr="009D0F0D">
              <w:rPr>
                <w:sz w:val="28"/>
              </w:rPr>
              <w:t>;</w:t>
            </w:r>
          </w:p>
          <w:p w14:paraId="7EBEEA0A" w14:textId="4D2A0670" w:rsidR="006C6A7E" w:rsidRDefault="00FB78C4" w:rsidP="00503BCD">
            <w:pPr>
              <w:jc w:val="both"/>
              <w:rPr>
                <w:iCs/>
                <w:sz w:val="28"/>
                <w:szCs w:val="28"/>
              </w:rPr>
            </w:pPr>
            <w:r w:rsidRPr="00A82993">
              <w:rPr>
                <w:iCs/>
                <w:sz w:val="28"/>
                <w:szCs w:val="28"/>
              </w:rPr>
              <w:t>- </w:t>
            </w:r>
            <w:r w:rsidR="00503BCD" w:rsidRPr="00A82993">
              <w:rPr>
                <w:iCs/>
                <w:sz w:val="28"/>
                <w:szCs w:val="28"/>
              </w:rPr>
              <w:t xml:space="preserve">CSDD transportlīdzekli reģistrē pēc DRN par transportlīdzekli saņemšanas CSDD norādītajā norēķinu kontā, kas atvērts </w:t>
            </w:r>
            <w:r w:rsidR="00B9438F">
              <w:rPr>
                <w:iCs/>
                <w:sz w:val="28"/>
                <w:szCs w:val="28"/>
              </w:rPr>
              <w:t xml:space="preserve">kredītiestādē vai Valsts kasē </w:t>
            </w:r>
            <w:r w:rsidR="00503BCD" w:rsidRPr="00A82993">
              <w:rPr>
                <w:iCs/>
                <w:sz w:val="28"/>
                <w:szCs w:val="28"/>
              </w:rPr>
              <w:t>nodokļa iekasēšanai, j</w:t>
            </w:r>
            <w:r w:rsidRPr="00A82993">
              <w:rPr>
                <w:iCs/>
                <w:sz w:val="28"/>
                <w:szCs w:val="28"/>
              </w:rPr>
              <w:t xml:space="preserve">a nodokļa maksātājs </w:t>
            </w:r>
            <w:r w:rsidRPr="00A82993">
              <w:rPr>
                <w:iCs/>
                <w:sz w:val="28"/>
                <w:szCs w:val="28"/>
              </w:rPr>
              <w:lastRenderedPageBreak/>
              <w:t>maksājumu veic ar maksājumu pakalpojumu sniedzēja starpniecību</w:t>
            </w:r>
            <w:r w:rsidR="00503BCD" w:rsidRPr="00A82993">
              <w:rPr>
                <w:iCs/>
                <w:sz w:val="28"/>
                <w:szCs w:val="28"/>
              </w:rPr>
              <w:t>.</w:t>
            </w:r>
          </w:p>
          <w:p w14:paraId="5D8B099A" w14:textId="30B30952" w:rsidR="00B9438F" w:rsidRPr="00A82993" w:rsidRDefault="00702C7F" w:rsidP="00503BCD">
            <w:pPr>
              <w:jc w:val="both"/>
              <w:rPr>
                <w:iCs/>
                <w:sz w:val="28"/>
                <w:szCs w:val="28"/>
              </w:rPr>
            </w:pPr>
            <w:r>
              <w:rPr>
                <w:iCs/>
                <w:sz w:val="28"/>
                <w:szCs w:val="28"/>
              </w:rPr>
              <w:t>Ņemot</w:t>
            </w:r>
            <w:r w:rsidR="005169CA" w:rsidRPr="00702C7F">
              <w:rPr>
                <w:iCs/>
                <w:sz w:val="28"/>
                <w:szCs w:val="28"/>
              </w:rPr>
              <w:t xml:space="preserve"> vērā to, ka visos gadījumos, veicot DRN par transportlīdzekli maksājumu, ir nepieciešams identificēt gan maksātāju, gan transportlīdzekli,</w:t>
            </w:r>
            <w:r>
              <w:rPr>
                <w:iCs/>
                <w:sz w:val="28"/>
                <w:szCs w:val="28"/>
              </w:rPr>
              <w:t xml:space="preserve"> gan samaksātā nodokļa apmēru, </w:t>
            </w:r>
            <w:r w:rsidR="00726E3F">
              <w:rPr>
                <w:iCs/>
                <w:sz w:val="28"/>
                <w:szCs w:val="28"/>
              </w:rPr>
              <w:t>noteikumu projektā ietvertais regulējums paredz</w:t>
            </w:r>
            <w:r w:rsidR="005169CA" w:rsidRPr="00702C7F">
              <w:rPr>
                <w:iCs/>
                <w:sz w:val="28"/>
                <w:szCs w:val="28"/>
              </w:rPr>
              <w:t xml:space="preserve"> precizēt MK noteikumu 361 3.punkt</w:t>
            </w:r>
            <w:r w:rsidR="00726E3F">
              <w:rPr>
                <w:iCs/>
                <w:sz w:val="28"/>
                <w:szCs w:val="28"/>
              </w:rPr>
              <w:t>u</w:t>
            </w:r>
            <w:r w:rsidR="005169CA" w:rsidRPr="00702C7F">
              <w:rPr>
                <w:iCs/>
                <w:sz w:val="28"/>
                <w:szCs w:val="28"/>
              </w:rPr>
              <w:t xml:space="preserve">, </w:t>
            </w:r>
            <w:r w:rsidR="0011685D">
              <w:rPr>
                <w:iCs/>
                <w:sz w:val="28"/>
                <w:szCs w:val="28"/>
              </w:rPr>
              <w:t>nosakot</w:t>
            </w:r>
            <w:r w:rsidR="005169CA" w:rsidRPr="00702C7F">
              <w:rPr>
                <w:iCs/>
                <w:sz w:val="28"/>
                <w:szCs w:val="28"/>
              </w:rPr>
              <w:t>, ka</w:t>
            </w:r>
            <w:r w:rsidR="006A56FE">
              <w:rPr>
                <w:iCs/>
                <w:sz w:val="28"/>
                <w:szCs w:val="28"/>
              </w:rPr>
              <w:t>,</w:t>
            </w:r>
            <w:r w:rsidR="005169CA" w:rsidRPr="00702C7F">
              <w:rPr>
                <w:iCs/>
                <w:sz w:val="28"/>
                <w:szCs w:val="28"/>
              </w:rPr>
              <w:t xml:space="preserve"> veicot maksājumu, maksājumu dokumentā ir jānorāda </w:t>
            </w:r>
            <w:r w:rsidR="005169CA" w:rsidRPr="00702C7F">
              <w:rPr>
                <w:sz w:val="28"/>
                <w:szCs w:val="28"/>
              </w:rPr>
              <w:t>informācija par nodokļa maksātāju (maksātāja vārds, uzvārds vai nosaukums), transportlīdzekļa identifikācijas numurs (VIN), transportlīdzekļa valsts reģistrācijas numurs vai transportlīdzekļa agregāta numuru salīdzināšanas izziņas numurs un samaksātā nodokļa apmērs.</w:t>
            </w:r>
            <w:r>
              <w:rPr>
                <w:sz w:val="28"/>
                <w:szCs w:val="28"/>
              </w:rPr>
              <w:t xml:space="preserve"> </w:t>
            </w:r>
            <w:r w:rsidR="00B9438F">
              <w:rPr>
                <w:iCs/>
                <w:sz w:val="28"/>
                <w:szCs w:val="28"/>
              </w:rPr>
              <w:t xml:space="preserve">Noteikumu projekts paredz, ka CSDD DRN par transportlīdzekli iekasēšanai norēķinu kontu var atvērt kredītiestādē vai Valsts kasē. Minētā izvēles iespēja ir paredzēta, lai CSDD, ņemot vērā to, ka iekasētās nodokļu summas ir jāiemaksā Kontā noteiktu dienu laikā, tiktu nodrošināta iespēja, izvēlēties efektīvāko veidu nodokļa iekasēšanai un iemaksāšanai Kontā. </w:t>
            </w:r>
          </w:p>
          <w:p w14:paraId="5D105E48" w14:textId="77777777" w:rsidR="00297D11" w:rsidRDefault="007A1F64" w:rsidP="00580D62">
            <w:pPr>
              <w:jc w:val="both"/>
              <w:rPr>
                <w:iCs/>
                <w:sz w:val="28"/>
                <w:szCs w:val="28"/>
              </w:rPr>
            </w:pPr>
            <w:r w:rsidRPr="00A82993">
              <w:rPr>
                <w:iCs/>
                <w:sz w:val="28"/>
                <w:szCs w:val="28"/>
              </w:rPr>
              <w:t xml:space="preserve">CSDD </w:t>
            </w:r>
            <w:r w:rsidR="00297D11" w:rsidRPr="00A82993">
              <w:rPr>
                <w:iCs/>
                <w:sz w:val="28"/>
                <w:szCs w:val="28"/>
              </w:rPr>
              <w:t>attiecībā uz</w:t>
            </w:r>
            <w:r w:rsidRPr="00A82993">
              <w:rPr>
                <w:iCs/>
                <w:sz w:val="28"/>
                <w:szCs w:val="28"/>
              </w:rPr>
              <w:t xml:space="preserve"> DRN par transportlīdzekli nodro</w:t>
            </w:r>
            <w:r w:rsidR="00297D11" w:rsidRPr="00A82993">
              <w:rPr>
                <w:iCs/>
                <w:sz w:val="28"/>
                <w:szCs w:val="28"/>
              </w:rPr>
              <w:t>šina</w:t>
            </w:r>
            <w:r w:rsidRPr="00A82993">
              <w:rPr>
                <w:iCs/>
                <w:sz w:val="28"/>
                <w:szCs w:val="28"/>
              </w:rPr>
              <w:t xml:space="preserve"> minētā nodokļa </w:t>
            </w:r>
            <w:r w:rsidR="00297D11" w:rsidRPr="00A82993">
              <w:rPr>
                <w:iCs/>
                <w:sz w:val="28"/>
                <w:szCs w:val="28"/>
              </w:rPr>
              <w:t xml:space="preserve">iekasēšanu un </w:t>
            </w:r>
            <w:r w:rsidRPr="00A82993">
              <w:rPr>
                <w:iCs/>
                <w:sz w:val="28"/>
                <w:szCs w:val="28"/>
              </w:rPr>
              <w:t>ieskaitīšanu Kont</w:t>
            </w:r>
            <w:r w:rsidR="00297D11" w:rsidRPr="00A82993">
              <w:rPr>
                <w:iCs/>
                <w:sz w:val="28"/>
                <w:szCs w:val="28"/>
              </w:rPr>
              <w:t>ā.</w:t>
            </w:r>
            <w:r w:rsidR="00580D62">
              <w:rPr>
                <w:iCs/>
                <w:sz w:val="28"/>
                <w:szCs w:val="28"/>
              </w:rPr>
              <w:t xml:space="preserve"> I</w:t>
            </w:r>
            <w:r w:rsidR="00580D62" w:rsidRPr="00580D62">
              <w:rPr>
                <w:iCs/>
                <w:sz w:val="28"/>
                <w:szCs w:val="28"/>
              </w:rPr>
              <w:t xml:space="preserve">zpildot noteikumos noteikto attiecībā uz DRN iekasēšanu, CSDD nav </w:t>
            </w:r>
            <w:r w:rsidR="00580D62">
              <w:rPr>
                <w:iCs/>
                <w:sz w:val="28"/>
                <w:szCs w:val="28"/>
              </w:rPr>
              <w:t>uzskatā</w:t>
            </w:r>
            <w:r w:rsidR="00C63FBC">
              <w:rPr>
                <w:iCs/>
                <w:sz w:val="28"/>
                <w:szCs w:val="28"/>
              </w:rPr>
              <w:t>m</w:t>
            </w:r>
            <w:r w:rsidR="00580D62">
              <w:rPr>
                <w:iCs/>
                <w:sz w:val="28"/>
                <w:szCs w:val="28"/>
              </w:rPr>
              <w:t xml:space="preserve">s par </w:t>
            </w:r>
            <w:r w:rsidR="00580D62" w:rsidRPr="00580D62">
              <w:rPr>
                <w:iCs/>
                <w:sz w:val="28"/>
                <w:szCs w:val="28"/>
              </w:rPr>
              <w:t>maksājumu pakalpojumu sniedzēj</w:t>
            </w:r>
            <w:r w:rsidR="00580D62">
              <w:rPr>
                <w:iCs/>
                <w:sz w:val="28"/>
                <w:szCs w:val="28"/>
              </w:rPr>
              <w:t>u</w:t>
            </w:r>
            <w:r w:rsidR="00580D62" w:rsidRPr="00580D62">
              <w:rPr>
                <w:iCs/>
                <w:sz w:val="28"/>
                <w:szCs w:val="28"/>
              </w:rPr>
              <w:t xml:space="preserve"> Maksājumu pakalpojumu un elektroniskās naudas likuma izpratnē</w:t>
            </w:r>
            <w:r w:rsidR="00580D62">
              <w:rPr>
                <w:iCs/>
                <w:sz w:val="28"/>
                <w:szCs w:val="28"/>
              </w:rPr>
              <w:t>.</w:t>
            </w:r>
          </w:p>
          <w:p w14:paraId="7D25837B" w14:textId="642FB390" w:rsidR="00702C7F" w:rsidRPr="00A82993" w:rsidRDefault="00702C7F" w:rsidP="00726E3F">
            <w:pPr>
              <w:jc w:val="both"/>
              <w:rPr>
                <w:iCs/>
                <w:sz w:val="28"/>
                <w:szCs w:val="28"/>
              </w:rPr>
            </w:pPr>
            <w:r>
              <w:rPr>
                <w:iCs/>
                <w:sz w:val="28"/>
                <w:szCs w:val="28"/>
              </w:rPr>
              <w:t xml:space="preserve">Ņemot vērā to, ka </w:t>
            </w:r>
            <w:r w:rsidRPr="00702C7F">
              <w:rPr>
                <w:iCs/>
                <w:sz w:val="28"/>
                <w:szCs w:val="28"/>
              </w:rPr>
              <w:t xml:space="preserve">praksē katrs </w:t>
            </w:r>
            <w:r>
              <w:rPr>
                <w:iCs/>
                <w:sz w:val="28"/>
                <w:szCs w:val="28"/>
              </w:rPr>
              <w:t>DRN par transportlīdzekli</w:t>
            </w:r>
            <w:r w:rsidRPr="00702C7F">
              <w:rPr>
                <w:iCs/>
                <w:sz w:val="28"/>
                <w:szCs w:val="28"/>
              </w:rPr>
              <w:t xml:space="preserve"> maksājums katram noteiktam transportlīdzeklim tiek veikts atsevišķā maksāju</w:t>
            </w:r>
            <w:r>
              <w:rPr>
                <w:iCs/>
                <w:sz w:val="28"/>
                <w:szCs w:val="28"/>
              </w:rPr>
              <w:t>mā</w:t>
            </w:r>
            <w:r w:rsidR="006A56FE">
              <w:rPr>
                <w:iCs/>
                <w:sz w:val="28"/>
                <w:szCs w:val="28"/>
              </w:rPr>
              <w:t>,</w:t>
            </w:r>
            <w:r>
              <w:rPr>
                <w:iCs/>
                <w:sz w:val="28"/>
                <w:szCs w:val="28"/>
              </w:rPr>
              <w:t xml:space="preserve"> </w:t>
            </w:r>
            <w:r w:rsidRPr="00702C7F">
              <w:rPr>
                <w:iCs/>
                <w:sz w:val="28"/>
                <w:szCs w:val="28"/>
              </w:rPr>
              <w:t xml:space="preserve">MK noteikumu 361 </w:t>
            </w:r>
            <w:r>
              <w:rPr>
                <w:iCs/>
                <w:sz w:val="28"/>
                <w:szCs w:val="28"/>
              </w:rPr>
              <w:t>6.punkta regulējums ir zaudējis aktualitāti, tādējādi</w:t>
            </w:r>
            <w:r w:rsidR="00726E3F">
              <w:rPr>
                <w:iCs/>
                <w:sz w:val="28"/>
                <w:szCs w:val="28"/>
              </w:rPr>
              <w:t xml:space="preserve"> to i</w:t>
            </w:r>
            <w:r>
              <w:rPr>
                <w:iCs/>
                <w:sz w:val="28"/>
                <w:szCs w:val="28"/>
              </w:rPr>
              <w:t xml:space="preserve">r paredzēts svītrot. </w:t>
            </w:r>
          </w:p>
        </w:tc>
      </w:tr>
      <w:tr w:rsidR="00BD5588" w:rsidRPr="00A82993" w14:paraId="1C9937A3" w14:textId="77777777" w:rsidTr="00A07F2B">
        <w:tc>
          <w:tcPr>
            <w:tcW w:w="310" w:type="pct"/>
            <w:hideMark/>
          </w:tcPr>
          <w:p w14:paraId="4FDC7570" w14:textId="77777777" w:rsidR="00BD5588" w:rsidRPr="00A82993" w:rsidRDefault="00BD5588" w:rsidP="00144D93">
            <w:pPr>
              <w:contextualSpacing/>
              <w:jc w:val="center"/>
              <w:rPr>
                <w:sz w:val="28"/>
                <w:szCs w:val="28"/>
              </w:rPr>
            </w:pPr>
            <w:r w:rsidRPr="00A82993">
              <w:rPr>
                <w:sz w:val="28"/>
                <w:szCs w:val="28"/>
              </w:rPr>
              <w:lastRenderedPageBreak/>
              <w:t>3.</w:t>
            </w:r>
          </w:p>
        </w:tc>
        <w:tc>
          <w:tcPr>
            <w:tcW w:w="1478" w:type="pct"/>
            <w:hideMark/>
          </w:tcPr>
          <w:p w14:paraId="57922300" w14:textId="77777777" w:rsidR="00BD5588" w:rsidRPr="00A82993" w:rsidRDefault="00BD5588" w:rsidP="00144D93">
            <w:pPr>
              <w:contextualSpacing/>
              <w:rPr>
                <w:sz w:val="28"/>
                <w:szCs w:val="28"/>
              </w:rPr>
            </w:pPr>
            <w:r w:rsidRPr="00A82993">
              <w:rPr>
                <w:sz w:val="28"/>
                <w:szCs w:val="28"/>
              </w:rPr>
              <w:t>Projekta izstrādē iesaistītās institūcijas un publiskas personas kapitālsabiedrības</w:t>
            </w:r>
          </w:p>
        </w:tc>
        <w:tc>
          <w:tcPr>
            <w:tcW w:w="3211" w:type="pct"/>
            <w:hideMark/>
          </w:tcPr>
          <w:p w14:paraId="1C55A49F" w14:textId="77777777" w:rsidR="0097782F" w:rsidRPr="00A82993" w:rsidRDefault="00501543" w:rsidP="00297D11">
            <w:pPr>
              <w:contextualSpacing/>
              <w:jc w:val="both"/>
              <w:rPr>
                <w:sz w:val="28"/>
                <w:szCs w:val="28"/>
              </w:rPr>
            </w:pPr>
            <w:r w:rsidRPr="00A82993">
              <w:rPr>
                <w:sz w:val="28"/>
                <w:szCs w:val="28"/>
              </w:rPr>
              <w:t xml:space="preserve">Finanšu ministrija, </w:t>
            </w:r>
            <w:r w:rsidR="00297D11" w:rsidRPr="00A82993">
              <w:rPr>
                <w:sz w:val="28"/>
                <w:szCs w:val="28"/>
              </w:rPr>
              <w:t>VID, CSDD</w:t>
            </w:r>
            <w:r w:rsidR="003F174E">
              <w:rPr>
                <w:sz w:val="28"/>
                <w:szCs w:val="28"/>
              </w:rPr>
              <w:t>, Valsts kase</w:t>
            </w:r>
          </w:p>
        </w:tc>
      </w:tr>
      <w:tr w:rsidR="00BD5588" w:rsidRPr="00A82993" w14:paraId="2187EF5A" w14:textId="77777777" w:rsidTr="00A07F2B">
        <w:tc>
          <w:tcPr>
            <w:tcW w:w="310" w:type="pct"/>
            <w:hideMark/>
          </w:tcPr>
          <w:p w14:paraId="3CF833D1" w14:textId="77777777" w:rsidR="00BD5588" w:rsidRPr="00A82993" w:rsidRDefault="00BD5588" w:rsidP="00144D93">
            <w:pPr>
              <w:contextualSpacing/>
              <w:jc w:val="center"/>
              <w:rPr>
                <w:sz w:val="28"/>
                <w:szCs w:val="28"/>
              </w:rPr>
            </w:pPr>
            <w:r w:rsidRPr="00A82993">
              <w:rPr>
                <w:sz w:val="28"/>
                <w:szCs w:val="28"/>
              </w:rPr>
              <w:t>4.</w:t>
            </w:r>
          </w:p>
        </w:tc>
        <w:tc>
          <w:tcPr>
            <w:tcW w:w="1478" w:type="pct"/>
            <w:hideMark/>
          </w:tcPr>
          <w:p w14:paraId="18E8BD55" w14:textId="77777777" w:rsidR="00BD5588" w:rsidRPr="00A82993" w:rsidRDefault="00BD5588" w:rsidP="00144D93">
            <w:pPr>
              <w:contextualSpacing/>
              <w:rPr>
                <w:sz w:val="28"/>
                <w:szCs w:val="28"/>
              </w:rPr>
            </w:pPr>
            <w:r w:rsidRPr="00A82993">
              <w:rPr>
                <w:sz w:val="28"/>
                <w:szCs w:val="28"/>
              </w:rPr>
              <w:t>Cita informācija</w:t>
            </w:r>
          </w:p>
        </w:tc>
        <w:tc>
          <w:tcPr>
            <w:tcW w:w="3211" w:type="pct"/>
            <w:hideMark/>
          </w:tcPr>
          <w:p w14:paraId="33B428A4" w14:textId="77777777" w:rsidR="00BD5588" w:rsidRPr="00A82993" w:rsidRDefault="00144D93" w:rsidP="00144D93">
            <w:pPr>
              <w:contextualSpacing/>
              <w:rPr>
                <w:sz w:val="28"/>
                <w:szCs w:val="28"/>
              </w:rPr>
            </w:pPr>
            <w:r w:rsidRPr="00A82993">
              <w:rPr>
                <w:sz w:val="28"/>
                <w:szCs w:val="28"/>
              </w:rPr>
              <w:t>Nav</w:t>
            </w:r>
          </w:p>
        </w:tc>
      </w:tr>
    </w:tbl>
    <w:p w14:paraId="2F6C4B40" w14:textId="77777777" w:rsidR="005F56F1" w:rsidRPr="00A82993" w:rsidRDefault="005F56F1" w:rsidP="00CE255F">
      <w:pPr>
        <w:pStyle w:val="Title"/>
        <w:contextualSpacing/>
        <w:jc w:val="both"/>
        <w:rPr>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2"/>
        <w:gridCol w:w="2678"/>
        <w:gridCol w:w="5821"/>
      </w:tblGrid>
      <w:tr w:rsidR="00BD5588" w:rsidRPr="00A82993" w14:paraId="759C3E43" w14:textId="77777777" w:rsidTr="00A07F2B">
        <w:trPr>
          <w:cantSplit/>
        </w:trPr>
        <w:tc>
          <w:tcPr>
            <w:tcW w:w="5000" w:type="pct"/>
            <w:gridSpan w:val="3"/>
            <w:vAlign w:val="center"/>
            <w:hideMark/>
          </w:tcPr>
          <w:p w14:paraId="5751BBBE" w14:textId="77777777" w:rsidR="00BD5588" w:rsidRPr="00A82993" w:rsidRDefault="00BD5588" w:rsidP="00CE255F">
            <w:pPr>
              <w:contextualSpacing/>
              <w:jc w:val="center"/>
              <w:rPr>
                <w:b/>
                <w:bCs/>
                <w:sz w:val="28"/>
                <w:szCs w:val="28"/>
              </w:rPr>
            </w:pPr>
            <w:r w:rsidRPr="00A82993">
              <w:rPr>
                <w:b/>
                <w:bCs/>
                <w:sz w:val="28"/>
                <w:szCs w:val="28"/>
              </w:rPr>
              <w:t>II. Tiesību akta projekta ietekme uz sabiedrību, tautsaimniecības attīstību un administratīvo slogu</w:t>
            </w:r>
          </w:p>
        </w:tc>
      </w:tr>
      <w:tr w:rsidR="00BD5588" w:rsidRPr="00A82993" w14:paraId="03EA7132" w14:textId="77777777" w:rsidTr="00A07F2B">
        <w:trPr>
          <w:cantSplit/>
        </w:trPr>
        <w:tc>
          <w:tcPr>
            <w:tcW w:w="310" w:type="pct"/>
            <w:hideMark/>
          </w:tcPr>
          <w:p w14:paraId="060D932B" w14:textId="77777777" w:rsidR="00BD5588" w:rsidRPr="00A82993" w:rsidRDefault="00BD5588" w:rsidP="00CE255F">
            <w:pPr>
              <w:contextualSpacing/>
              <w:jc w:val="center"/>
              <w:rPr>
                <w:sz w:val="28"/>
                <w:szCs w:val="28"/>
              </w:rPr>
            </w:pPr>
            <w:r w:rsidRPr="00A82993">
              <w:rPr>
                <w:sz w:val="28"/>
                <w:szCs w:val="28"/>
              </w:rPr>
              <w:lastRenderedPageBreak/>
              <w:t>1.</w:t>
            </w:r>
          </w:p>
        </w:tc>
        <w:tc>
          <w:tcPr>
            <w:tcW w:w="1478" w:type="pct"/>
            <w:hideMark/>
          </w:tcPr>
          <w:p w14:paraId="51D391CA" w14:textId="77777777" w:rsidR="00BD5588" w:rsidRPr="00A82993" w:rsidRDefault="00BD5588" w:rsidP="00CE255F">
            <w:pPr>
              <w:contextualSpacing/>
              <w:rPr>
                <w:sz w:val="28"/>
                <w:szCs w:val="28"/>
              </w:rPr>
            </w:pPr>
            <w:r w:rsidRPr="00A82993">
              <w:rPr>
                <w:sz w:val="28"/>
                <w:szCs w:val="28"/>
              </w:rPr>
              <w:t xml:space="preserve">Sabiedrības </w:t>
            </w:r>
            <w:proofErr w:type="spellStart"/>
            <w:r w:rsidRPr="00A82993">
              <w:rPr>
                <w:sz w:val="28"/>
                <w:szCs w:val="28"/>
              </w:rPr>
              <w:t>mērķgrupas</w:t>
            </w:r>
            <w:proofErr w:type="spellEnd"/>
            <w:r w:rsidRPr="00A82993">
              <w:rPr>
                <w:sz w:val="28"/>
                <w:szCs w:val="28"/>
              </w:rPr>
              <w:t>, kuras tiesiskais regulējums ietekmē vai varētu ietekmēt</w:t>
            </w:r>
          </w:p>
        </w:tc>
        <w:tc>
          <w:tcPr>
            <w:tcW w:w="3211" w:type="pct"/>
            <w:hideMark/>
          </w:tcPr>
          <w:p w14:paraId="2D95AEBA" w14:textId="30209C2B" w:rsidR="00DA1AC5" w:rsidRPr="0083254C" w:rsidRDefault="00E2058C" w:rsidP="00586D1E">
            <w:pPr>
              <w:ind w:left="69" w:right="156"/>
              <w:contextualSpacing/>
              <w:jc w:val="both"/>
              <w:rPr>
                <w:sz w:val="28"/>
                <w:szCs w:val="28"/>
              </w:rPr>
            </w:pPr>
            <w:r>
              <w:rPr>
                <w:sz w:val="28"/>
                <w:szCs w:val="28"/>
              </w:rPr>
              <w:t xml:space="preserve">Nav attiecināms. </w:t>
            </w:r>
          </w:p>
          <w:p w14:paraId="3C8CE2ED" w14:textId="5C326890" w:rsidR="00C67B8F" w:rsidRPr="00A82993" w:rsidRDefault="00C67B8F" w:rsidP="00336044">
            <w:pPr>
              <w:ind w:left="69" w:right="156"/>
              <w:contextualSpacing/>
              <w:jc w:val="both"/>
              <w:rPr>
                <w:sz w:val="28"/>
                <w:szCs w:val="28"/>
              </w:rPr>
            </w:pPr>
          </w:p>
        </w:tc>
      </w:tr>
      <w:tr w:rsidR="00BD5588" w:rsidRPr="00A82993" w14:paraId="4A761293" w14:textId="77777777" w:rsidTr="00A07F2B">
        <w:trPr>
          <w:cantSplit/>
        </w:trPr>
        <w:tc>
          <w:tcPr>
            <w:tcW w:w="310" w:type="pct"/>
            <w:hideMark/>
          </w:tcPr>
          <w:p w14:paraId="54054F7F" w14:textId="77777777" w:rsidR="00BD5588" w:rsidRPr="00A82993" w:rsidRDefault="00BD5588" w:rsidP="00CE255F">
            <w:pPr>
              <w:contextualSpacing/>
              <w:jc w:val="center"/>
              <w:rPr>
                <w:sz w:val="28"/>
                <w:szCs w:val="28"/>
              </w:rPr>
            </w:pPr>
            <w:r w:rsidRPr="00A82993">
              <w:rPr>
                <w:sz w:val="28"/>
                <w:szCs w:val="28"/>
              </w:rPr>
              <w:t>2.</w:t>
            </w:r>
          </w:p>
        </w:tc>
        <w:tc>
          <w:tcPr>
            <w:tcW w:w="1478" w:type="pct"/>
            <w:hideMark/>
          </w:tcPr>
          <w:p w14:paraId="6AC7AE26" w14:textId="77777777" w:rsidR="00BD5588" w:rsidRPr="00A82993" w:rsidRDefault="00BD5588" w:rsidP="00CE255F">
            <w:pPr>
              <w:contextualSpacing/>
              <w:rPr>
                <w:sz w:val="28"/>
                <w:szCs w:val="28"/>
              </w:rPr>
            </w:pPr>
            <w:r w:rsidRPr="00A82993">
              <w:rPr>
                <w:sz w:val="28"/>
                <w:szCs w:val="28"/>
              </w:rPr>
              <w:t>Tiesiskā regulējuma ietekme uz tautsaimniecību un administratīvo slogu</w:t>
            </w:r>
          </w:p>
        </w:tc>
        <w:tc>
          <w:tcPr>
            <w:tcW w:w="3211" w:type="pct"/>
            <w:hideMark/>
          </w:tcPr>
          <w:p w14:paraId="0970E10B" w14:textId="77777777" w:rsidR="00937CAD" w:rsidRPr="00A82993" w:rsidRDefault="002D15C9" w:rsidP="00711ACD">
            <w:pPr>
              <w:ind w:left="69" w:right="156"/>
              <w:contextualSpacing/>
              <w:jc w:val="both"/>
              <w:rPr>
                <w:sz w:val="28"/>
                <w:szCs w:val="28"/>
              </w:rPr>
            </w:pPr>
            <w:r w:rsidRPr="00A82993">
              <w:rPr>
                <w:sz w:val="28"/>
                <w:szCs w:val="28"/>
              </w:rPr>
              <w:t xml:space="preserve">Ar </w:t>
            </w:r>
            <w:r w:rsidR="00586D1E" w:rsidRPr="00A82993">
              <w:rPr>
                <w:sz w:val="28"/>
                <w:szCs w:val="28"/>
              </w:rPr>
              <w:t>noteikumu projektā ietverto regulējumu administratīvais slogs netiek</w:t>
            </w:r>
            <w:r w:rsidR="00632AD4" w:rsidRPr="00A82993">
              <w:rPr>
                <w:sz w:val="28"/>
                <w:szCs w:val="28"/>
              </w:rPr>
              <w:t xml:space="preserve"> radīts vai</w:t>
            </w:r>
            <w:r w:rsidR="00586D1E" w:rsidRPr="00A82993">
              <w:rPr>
                <w:sz w:val="28"/>
                <w:szCs w:val="28"/>
              </w:rPr>
              <w:t xml:space="preserve"> </w:t>
            </w:r>
            <w:r w:rsidR="00632AD4" w:rsidRPr="00A82993">
              <w:rPr>
                <w:sz w:val="28"/>
                <w:szCs w:val="28"/>
              </w:rPr>
              <w:t xml:space="preserve">mainīts, jo arī šobrīd nodokļu maksātājam ir pienākums samaksāt </w:t>
            </w:r>
            <w:r w:rsidR="00E6236D">
              <w:rPr>
                <w:sz w:val="28"/>
                <w:szCs w:val="28"/>
              </w:rPr>
              <w:t xml:space="preserve">DRN </w:t>
            </w:r>
            <w:r w:rsidR="00711ACD">
              <w:rPr>
                <w:sz w:val="28"/>
                <w:szCs w:val="28"/>
              </w:rPr>
              <w:t>p</w:t>
            </w:r>
            <w:r w:rsidR="00E6236D">
              <w:rPr>
                <w:sz w:val="28"/>
                <w:szCs w:val="28"/>
              </w:rPr>
              <w:t>ar transportlīdzekli DRN normatīvos aktos</w:t>
            </w:r>
            <w:r w:rsidR="00632AD4" w:rsidRPr="00A82993">
              <w:rPr>
                <w:sz w:val="28"/>
                <w:szCs w:val="28"/>
              </w:rPr>
              <w:t xml:space="preserve"> noteikt</w:t>
            </w:r>
            <w:r w:rsidR="00711ACD">
              <w:rPr>
                <w:sz w:val="28"/>
                <w:szCs w:val="28"/>
              </w:rPr>
              <w:t>aj</w:t>
            </w:r>
            <w:r w:rsidR="00632AD4" w:rsidRPr="00A82993">
              <w:rPr>
                <w:sz w:val="28"/>
                <w:szCs w:val="28"/>
              </w:rPr>
              <w:t>os gadījumos. Turklāt noteikumu projektā</w:t>
            </w:r>
            <w:r w:rsidR="00E6236D">
              <w:rPr>
                <w:sz w:val="28"/>
                <w:szCs w:val="28"/>
              </w:rPr>
              <w:t xml:space="preserve"> noteiktais regulējums</w:t>
            </w:r>
            <w:r w:rsidR="00632AD4" w:rsidRPr="00A82993">
              <w:rPr>
                <w:sz w:val="28"/>
                <w:szCs w:val="28"/>
              </w:rPr>
              <w:t xml:space="preserve"> saglabā šobrīd spēkā esoš</w:t>
            </w:r>
            <w:r w:rsidR="00E6236D">
              <w:rPr>
                <w:sz w:val="28"/>
                <w:szCs w:val="28"/>
              </w:rPr>
              <w:t xml:space="preserve">o </w:t>
            </w:r>
            <w:r w:rsidR="00632AD4" w:rsidRPr="00A82993">
              <w:rPr>
                <w:sz w:val="28"/>
                <w:szCs w:val="28"/>
              </w:rPr>
              <w:t>kārt</w:t>
            </w:r>
            <w:r w:rsidR="00E6236D">
              <w:rPr>
                <w:sz w:val="28"/>
                <w:szCs w:val="28"/>
              </w:rPr>
              <w:t>ību</w:t>
            </w:r>
            <w:r w:rsidR="00632AD4" w:rsidRPr="00A82993">
              <w:rPr>
                <w:sz w:val="28"/>
                <w:szCs w:val="28"/>
              </w:rPr>
              <w:t>, ka DRN par transportlīdzekli iespējams samaksāt pastarpināt</w:t>
            </w:r>
            <w:r w:rsidR="00711ACD">
              <w:rPr>
                <w:sz w:val="28"/>
                <w:szCs w:val="28"/>
              </w:rPr>
              <w:t>i</w:t>
            </w:r>
            <w:r w:rsidR="00632AD4" w:rsidRPr="00A82993">
              <w:rPr>
                <w:sz w:val="28"/>
                <w:szCs w:val="28"/>
              </w:rPr>
              <w:t>, proti, izmantojot maksāšanas iespējas CSDD. Līdz ar to nodokļu maksātājam ir iespēja, izvēlēties tam ērtāko maksāšanas veidu (skaidrā naudā, ar maksājumu karti vai ar pārskaitījumu) un samaksāt minēto nodokli.</w:t>
            </w:r>
          </w:p>
        </w:tc>
      </w:tr>
      <w:tr w:rsidR="00BD5588" w:rsidRPr="00A82993" w14:paraId="78BB974B" w14:textId="77777777" w:rsidTr="00A07F2B">
        <w:trPr>
          <w:cantSplit/>
        </w:trPr>
        <w:tc>
          <w:tcPr>
            <w:tcW w:w="310" w:type="pct"/>
            <w:hideMark/>
          </w:tcPr>
          <w:p w14:paraId="2EB3785B" w14:textId="77777777" w:rsidR="00BD5588" w:rsidRPr="00A82993" w:rsidRDefault="00BD5588" w:rsidP="00CE255F">
            <w:pPr>
              <w:contextualSpacing/>
              <w:jc w:val="center"/>
              <w:rPr>
                <w:sz w:val="28"/>
                <w:szCs w:val="28"/>
              </w:rPr>
            </w:pPr>
            <w:r w:rsidRPr="00A82993">
              <w:rPr>
                <w:sz w:val="28"/>
                <w:szCs w:val="28"/>
              </w:rPr>
              <w:t>3.</w:t>
            </w:r>
          </w:p>
        </w:tc>
        <w:tc>
          <w:tcPr>
            <w:tcW w:w="1478" w:type="pct"/>
            <w:hideMark/>
          </w:tcPr>
          <w:p w14:paraId="361D0490" w14:textId="77777777" w:rsidR="00BD5588" w:rsidRPr="00A82993" w:rsidRDefault="00BD5588" w:rsidP="00CE255F">
            <w:pPr>
              <w:contextualSpacing/>
              <w:rPr>
                <w:sz w:val="28"/>
                <w:szCs w:val="28"/>
              </w:rPr>
            </w:pPr>
            <w:r w:rsidRPr="00A82993">
              <w:rPr>
                <w:sz w:val="28"/>
                <w:szCs w:val="28"/>
              </w:rPr>
              <w:t>Administratīvo izmaksu monetārs novērtējums</w:t>
            </w:r>
          </w:p>
        </w:tc>
        <w:tc>
          <w:tcPr>
            <w:tcW w:w="3211" w:type="pct"/>
            <w:hideMark/>
          </w:tcPr>
          <w:p w14:paraId="1244E96C" w14:textId="77777777" w:rsidR="00BD5588" w:rsidRPr="00A82993" w:rsidRDefault="00116500" w:rsidP="00586D1E">
            <w:pPr>
              <w:ind w:right="156"/>
              <w:contextualSpacing/>
              <w:rPr>
                <w:sz w:val="28"/>
                <w:szCs w:val="28"/>
              </w:rPr>
            </w:pPr>
            <w:r w:rsidRPr="00A82993">
              <w:rPr>
                <w:sz w:val="28"/>
                <w:szCs w:val="28"/>
              </w:rPr>
              <w:t xml:space="preserve">Nav </w:t>
            </w:r>
            <w:r w:rsidR="00586D1E" w:rsidRPr="00A82993">
              <w:rPr>
                <w:sz w:val="28"/>
                <w:szCs w:val="28"/>
              </w:rPr>
              <w:t>attiecināms</w:t>
            </w:r>
            <w:r w:rsidRPr="00A82993">
              <w:rPr>
                <w:sz w:val="28"/>
                <w:szCs w:val="28"/>
              </w:rPr>
              <w:t>.</w:t>
            </w:r>
          </w:p>
        </w:tc>
      </w:tr>
      <w:tr w:rsidR="00BD5588" w:rsidRPr="00A82993" w14:paraId="460424F7" w14:textId="77777777" w:rsidTr="00A07F2B">
        <w:trPr>
          <w:cantSplit/>
          <w:trHeight w:val="518"/>
        </w:trPr>
        <w:tc>
          <w:tcPr>
            <w:tcW w:w="310" w:type="pct"/>
            <w:hideMark/>
          </w:tcPr>
          <w:p w14:paraId="4FA807E3" w14:textId="77777777" w:rsidR="00BD5588" w:rsidRPr="00A82993" w:rsidRDefault="00BD5588" w:rsidP="00CE255F">
            <w:pPr>
              <w:contextualSpacing/>
              <w:jc w:val="center"/>
              <w:rPr>
                <w:sz w:val="28"/>
                <w:szCs w:val="28"/>
              </w:rPr>
            </w:pPr>
            <w:r w:rsidRPr="00A82993">
              <w:rPr>
                <w:sz w:val="28"/>
                <w:szCs w:val="28"/>
              </w:rPr>
              <w:t>4.</w:t>
            </w:r>
          </w:p>
        </w:tc>
        <w:tc>
          <w:tcPr>
            <w:tcW w:w="1478" w:type="pct"/>
            <w:hideMark/>
          </w:tcPr>
          <w:p w14:paraId="7C43822D" w14:textId="77777777" w:rsidR="00BD5588" w:rsidRPr="00A82993" w:rsidRDefault="00BD5588" w:rsidP="00CE255F">
            <w:pPr>
              <w:contextualSpacing/>
              <w:rPr>
                <w:sz w:val="28"/>
                <w:szCs w:val="28"/>
              </w:rPr>
            </w:pPr>
            <w:r w:rsidRPr="00A82993">
              <w:rPr>
                <w:sz w:val="28"/>
                <w:szCs w:val="28"/>
              </w:rPr>
              <w:t>Atbilstības izmaksu monetārs novērtējums</w:t>
            </w:r>
          </w:p>
        </w:tc>
        <w:tc>
          <w:tcPr>
            <w:tcW w:w="3211" w:type="pct"/>
            <w:hideMark/>
          </w:tcPr>
          <w:p w14:paraId="44E5FC12" w14:textId="77777777" w:rsidR="00BD5588" w:rsidRPr="00A82993" w:rsidRDefault="00116500" w:rsidP="00586D1E">
            <w:pPr>
              <w:ind w:right="156"/>
              <w:contextualSpacing/>
              <w:rPr>
                <w:sz w:val="28"/>
                <w:szCs w:val="28"/>
              </w:rPr>
            </w:pPr>
            <w:r w:rsidRPr="00A82993">
              <w:rPr>
                <w:sz w:val="28"/>
                <w:szCs w:val="28"/>
              </w:rPr>
              <w:t xml:space="preserve">Nav </w:t>
            </w:r>
            <w:r w:rsidR="00586D1E" w:rsidRPr="00A82993">
              <w:rPr>
                <w:sz w:val="28"/>
                <w:szCs w:val="28"/>
              </w:rPr>
              <w:t>attiecināms</w:t>
            </w:r>
            <w:r w:rsidRPr="00A82993">
              <w:rPr>
                <w:sz w:val="28"/>
                <w:szCs w:val="28"/>
              </w:rPr>
              <w:t>.</w:t>
            </w:r>
          </w:p>
        </w:tc>
      </w:tr>
      <w:tr w:rsidR="00BD5588" w:rsidRPr="00A82993" w14:paraId="1DA892E2" w14:textId="77777777" w:rsidTr="00A07F2B">
        <w:trPr>
          <w:cantSplit/>
        </w:trPr>
        <w:tc>
          <w:tcPr>
            <w:tcW w:w="310" w:type="pct"/>
            <w:hideMark/>
          </w:tcPr>
          <w:p w14:paraId="280AFD2F" w14:textId="77777777" w:rsidR="00BD5588" w:rsidRPr="00A82993" w:rsidRDefault="00BD5588" w:rsidP="00CE255F">
            <w:pPr>
              <w:contextualSpacing/>
              <w:jc w:val="center"/>
              <w:rPr>
                <w:sz w:val="28"/>
                <w:szCs w:val="28"/>
              </w:rPr>
            </w:pPr>
            <w:r w:rsidRPr="00A82993">
              <w:rPr>
                <w:sz w:val="28"/>
                <w:szCs w:val="28"/>
              </w:rPr>
              <w:t>5.</w:t>
            </w:r>
          </w:p>
        </w:tc>
        <w:tc>
          <w:tcPr>
            <w:tcW w:w="1478" w:type="pct"/>
            <w:hideMark/>
          </w:tcPr>
          <w:p w14:paraId="489FCBAA" w14:textId="77777777" w:rsidR="00BD5588" w:rsidRPr="00A82993" w:rsidRDefault="00BD5588" w:rsidP="00CE255F">
            <w:pPr>
              <w:contextualSpacing/>
              <w:rPr>
                <w:sz w:val="28"/>
                <w:szCs w:val="28"/>
              </w:rPr>
            </w:pPr>
            <w:r w:rsidRPr="00A82993">
              <w:rPr>
                <w:sz w:val="28"/>
                <w:szCs w:val="28"/>
              </w:rPr>
              <w:t>Cita informācija</w:t>
            </w:r>
          </w:p>
        </w:tc>
        <w:tc>
          <w:tcPr>
            <w:tcW w:w="3211" w:type="pct"/>
            <w:hideMark/>
          </w:tcPr>
          <w:p w14:paraId="35551F8F" w14:textId="77777777" w:rsidR="00D9470C" w:rsidRPr="00A82993" w:rsidRDefault="003F174E" w:rsidP="003F174E">
            <w:pPr>
              <w:ind w:right="156"/>
              <w:contextualSpacing/>
              <w:jc w:val="both"/>
              <w:rPr>
                <w:sz w:val="28"/>
                <w:szCs w:val="28"/>
                <w:u w:val="single"/>
              </w:rPr>
            </w:pPr>
            <w:r w:rsidRPr="00A82993">
              <w:rPr>
                <w:sz w:val="28"/>
                <w:szCs w:val="28"/>
              </w:rPr>
              <w:t>Nav attiecināms.</w:t>
            </w:r>
          </w:p>
        </w:tc>
      </w:tr>
    </w:tbl>
    <w:p w14:paraId="6717AB16" w14:textId="47D313C8" w:rsidR="00BD5588" w:rsidRDefault="00BD5588" w:rsidP="00144D93">
      <w:pPr>
        <w:contextualSpacing/>
        <w:rPr>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5E4B31" w:rsidRPr="00A82993" w14:paraId="57959771" w14:textId="77777777" w:rsidTr="00A07F2B">
        <w:tc>
          <w:tcPr>
            <w:tcW w:w="9069" w:type="dxa"/>
            <w:vAlign w:val="center"/>
            <w:hideMark/>
          </w:tcPr>
          <w:p w14:paraId="120B53AC" w14:textId="77777777" w:rsidR="005E4B31" w:rsidRPr="00A82993" w:rsidRDefault="005E4B31" w:rsidP="008D4ACB">
            <w:pPr>
              <w:contextualSpacing/>
              <w:jc w:val="center"/>
              <w:rPr>
                <w:b/>
                <w:bCs/>
                <w:sz w:val="28"/>
                <w:szCs w:val="28"/>
              </w:rPr>
            </w:pPr>
            <w:r w:rsidRPr="00A82993">
              <w:rPr>
                <w:b/>
                <w:bCs/>
                <w:sz w:val="28"/>
                <w:szCs w:val="28"/>
                <w:lang w:eastAsia="en-US"/>
              </w:rPr>
              <w:t>III. Tiesību akta projekta ietekme uz valsts budžetu un pašvaldību budžetiem</w:t>
            </w:r>
          </w:p>
        </w:tc>
      </w:tr>
      <w:tr w:rsidR="005E4B31" w:rsidRPr="00A82993" w14:paraId="42C103E8" w14:textId="77777777" w:rsidTr="00A07F2B">
        <w:trPr>
          <w:trHeight w:val="373"/>
        </w:trPr>
        <w:tc>
          <w:tcPr>
            <w:tcW w:w="9069" w:type="dxa"/>
            <w:vAlign w:val="center"/>
          </w:tcPr>
          <w:p w14:paraId="20DFBF77" w14:textId="511B8F9C" w:rsidR="005E4B31" w:rsidRPr="00A82993" w:rsidRDefault="005E4B31" w:rsidP="008D4ACB">
            <w:pPr>
              <w:contextualSpacing/>
              <w:jc w:val="center"/>
              <w:rPr>
                <w:b/>
                <w:bCs/>
                <w:sz w:val="28"/>
                <w:szCs w:val="28"/>
              </w:rPr>
            </w:pPr>
            <w:r w:rsidRPr="00A82993">
              <w:rPr>
                <w:sz w:val="28"/>
                <w:szCs w:val="28"/>
              </w:rPr>
              <w:t>Projekts šo jomu neskar</w:t>
            </w:r>
            <w:r w:rsidR="005B1D7F">
              <w:rPr>
                <w:sz w:val="28"/>
                <w:szCs w:val="28"/>
              </w:rPr>
              <w:t>.</w:t>
            </w:r>
          </w:p>
        </w:tc>
      </w:tr>
    </w:tbl>
    <w:p w14:paraId="01BFC6A8" w14:textId="77777777" w:rsidR="005E4B31" w:rsidRPr="00A82993" w:rsidRDefault="005E4B31" w:rsidP="00144D93">
      <w:pPr>
        <w:contextualSpacing/>
        <w:rPr>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4E1BF0" w:rsidRPr="00A82993" w14:paraId="478F6FA2" w14:textId="77777777" w:rsidTr="00A07F2B">
        <w:tc>
          <w:tcPr>
            <w:tcW w:w="9069" w:type="dxa"/>
            <w:vAlign w:val="center"/>
            <w:hideMark/>
          </w:tcPr>
          <w:p w14:paraId="3534D9AC" w14:textId="77777777" w:rsidR="004E1BF0" w:rsidRPr="00A82993" w:rsidRDefault="004E1BF0" w:rsidP="00D824C2">
            <w:pPr>
              <w:contextualSpacing/>
              <w:jc w:val="center"/>
              <w:rPr>
                <w:b/>
                <w:bCs/>
                <w:sz w:val="28"/>
                <w:szCs w:val="28"/>
              </w:rPr>
            </w:pPr>
            <w:bookmarkStart w:id="1" w:name="_Hlk15561214"/>
            <w:r w:rsidRPr="00A82993">
              <w:rPr>
                <w:b/>
                <w:bCs/>
                <w:sz w:val="28"/>
                <w:szCs w:val="28"/>
              </w:rPr>
              <w:t>IV. Tiesību akta projekta ietekme uz spēkā esošo tiesību normu sistēmu</w:t>
            </w:r>
          </w:p>
        </w:tc>
      </w:tr>
      <w:tr w:rsidR="001A0C58" w:rsidRPr="00A82993" w14:paraId="5D8DFAA6" w14:textId="77777777" w:rsidTr="00A07F2B">
        <w:trPr>
          <w:trHeight w:val="373"/>
        </w:trPr>
        <w:tc>
          <w:tcPr>
            <w:tcW w:w="9069" w:type="dxa"/>
            <w:vAlign w:val="center"/>
          </w:tcPr>
          <w:p w14:paraId="64BA63A7" w14:textId="34CB91C7" w:rsidR="001A0C58" w:rsidRPr="00A82993" w:rsidRDefault="001A0C58" w:rsidP="00D824C2">
            <w:pPr>
              <w:contextualSpacing/>
              <w:jc w:val="center"/>
              <w:rPr>
                <w:b/>
                <w:bCs/>
                <w:sz w:val="28"/>
                <w:szCs w:val="28"/>
              </w:rPr>
            </w:pPr>
            <w:r w:rsidRPr="00A82993">
              <w:rPr>
                <w:sz w:val="28"/>
                <w:szCs w:val="28"/>
              </w:rPr>
              <w:t>Projekts šo jomu neskar</w:t>
            </w:r>
            <w:r w:rsidR="005B1D7F">
              <w:rPr>
                <w:sz w:val="28"/>
                <w:szCs w:val="28"/>
              </w:rPr>
              <w:t>.</w:t>
            </w:r>
          </w:p>
        </w:tc>
      </w:tr>
      <w:bookmarkEnd w:id="1"/>
    </w:tbl>
    <w:p w14:paraId="2AD58B3F" w14:textId="77777777" w:rsidR="004E1BF0" w:rsidRPr="00A82993" w:rsidRDefault="004E1BF0" w:rsidP="009C6C8C">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D5588" w:rsidRPr="00A82993" w14:paraId="3D44F03D" w14:textId="77777777" w:rsidTr="00A07F2B">
        <w:trPr>
          <w:cantSplit/>
        </w:trPr>
        <w:tc>
          <w:tcPr>
            <w:tcW w:w="5000" w:type="pct"/>
            <w:vAlign w:val="center"/>
            <w:hideMark/>
          </w:tcPr>
          <w:p w14:paraId="5D4BBAAA" w14:textId="77777777" w:rsidR="00BD5588" w:rsidRPr="00A82993" w:rsidRDefault="00BD5588" w:rsidP="00144D93">
            <w:pPr>
              <w:contextualSpacing/>
              <w:jc w:val="center"/>
              <w:rPr>
                <w:b/>
                <w:bCs/>
                <w:sz w:val="28"/>
                <w:szCs w:val="28"/>
              </w:rPr>
            </w:pPr>
            <w:r w:rsidRPr="00A82993">
              <w:rPr>
                <w:b/>
                <w:bCs/>
                <w:sz w:val="28"/>
                <w:szCs w:val="28"/>
              </w:rPr>
              <w:t>V. Tiesību akta projekta atbilstība Latvijas Republikas starptautiskajām saistībām</w:t>
            </w:r>
          </w:p>
        </w:tc>
      </w:tr>
      <w:tr w:rsidR="00FD6E15" w:rsidRPr="00A82993" w14:paraId="43A4837A" w14:textId="77777777" w:rsidTr="00A07F2B">
        <w:trPr>
          <w:cantSplit/>
          <w:trHeight w:val="227"/>
        </w:trPr>
        <w:tc>
          <w:tcPr>
            <w:tcW w:w="5000" w:type="pct"/>
          </w:tcPr>
          <w:p w14:paraId="18C11DE4" w14:textId="346F6C17" w:rsidR="00FD6E15" w:rsidRPr="00A82993" w:rsidRDefault="00FD6E15" w:rsidP="00FD6E15">
            <w:pPr>
              <w:contextualSpacing/>
              <w:jc w:val="center"/>
              <w:rPr>
                <w:sz w:val="28"/>
                <w:szCs w:val="28"/>
              </w:rPr>
            </w:pPr>
            <w:r w:rsidRPr="00A82993">
              <w:rPr>
                <w:sz w:val="28"/>
                <w:szCs w:val="28"/>
              </w:rPr>
              <w:t>Projekts šo jomu neskar</w:t>
            </w:r>
            <w:r w:rsidR="005B1D7F">
              <w:rPr>
                <w:sz w:val="28"/>
                <w:szCs w:val="28"/>
              </w:rPr>
              <w:t>.</w:t>
            </w:r>
          </w:p>
        </w:tc>
      </w:tr>
    </w:tbl>
    <w:p w14:paraId="1954BC62" w14:textId="287C6C7A" w:rsidR="00A3156A" w:rsidRDefault="00A3156A" w:rsidP="009C6C8C">
      <w:pPr>
        <w:pStyle w:val="Title"/>
        <w:contextualSpacing/>
        <w:jc w:val="both"/>
        <w:rPr>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2"/>
        <w:gridCol w:w="3652"/>
        <w:gridCol w:w="4992"/>
      </w:tblGrid>
      <w:tr w:rsidR="00BD5588" w:rsidRPr="00A82993" w14:paraId="3E77FC5D" w14:textId="77777777" w:rsidTr="00A07F2B">
        <w:trPr>
          <w:cantSplit/>
        </w:trPr>
        <w:tc>
          <w:tcPr>
            <w:tcW w:w="5000" w:type="pct"/>
            <w:gridSpan w:val="3"/>
            <w:vAlign w:val="center"/>
            <w:hideMark/>
          </w:tcPr>
          <w:p w14:paraId="62CBC601" w14:textId="77777777" w:rsidR="00BD5588" w:rsidRPr="00A82993" w:rsidRDefault="00BD5588" w:rsidP="00144D93">
            <w:pPr>
              <w:contextualSpacing/>
              <w:jc w:val="center"/>
              <w:rPr>
                <w:b/>
                <w:bCs/>
                <w:sz w:val="28"/>
                <w:szCs w:val="28"/>
              </w:rPr>
            </w:pPr>
            <w:r w:rsidRPr="00A82993">
              <w:rPr>
                <w:b/>
                <w:bCs/>
                <w:sz w:val="28"/>
                <w:szCs w:val="28"/>
              </w:rPr>
              <w:t>VI. Sabiedrības līdzdalība un komunikācijas aktivitātes</w:t>
            </w:r>
          </w:p>
        </w:tc>
      </w:tr>
      <w:tr w:rsidR="00734656" w:rsidRPr="00A82993" w14:paraId="0653B3E5" w14:textId="77777777" w:rsidTr="00A07F2B">
        <w:trPr>
          <w:cantSplit/>
        </w:trPr>
        <w:tc>
          <w:tcPr>
            <w:tcW w:w="233" w:type="pct"/>
            <w:hideMark/>
          </w:tcPr>
          <w:p w14:paraId="1C195A1F" w14:textId="77777777" w:rsidR="00BD5588" w:rsidRPr="00336044" w:rsidRDefault="00BD5588" w:rsidP="00144D93">
            <w:pPr>
              <w:contextualSpacing/>
              <w:jc w:val="center"/>
              <w:rPr>
                <w:sz w:val="28"/>
                <w:szCs w:val="28"/>
              </w:rPr>
            </w:pPr>
            <w:r w:rsidRPr="00336044">
              <w:rPr>
                <w:sz w:val="28"/>
                <w:szCs w:val="28"/>
              </w:rPr>
              <w:lastRenderedPageBreak/>
              <w:t>1.</w:t>
            </w:r>
          </w:p>
        </w:tc>
        <w:tc>
          <w:tcPr>
            <w:tcW w:w="2014" w:type="pct"/>
            <w:hideMark/>
          </w:tcPr>
          <w:p w14:paraId="13A3250A" w14:textId="77777777" w:rsidR="00BD5588" w:rsidRPr="00336044" w:rsidRDefault="00BD5588" w:rsidP="00144D93">
            <w:pPr>
              <w:contextualSpacing/>
              <w:rPr>
                <w:sz w:val="28"/>
                <w:szCs w:val="28"/>
              </w:rPr>
            </w:pPr>
            <w:r w:rsidRPr="00336044">
              <w:rPr>
                <w:sz w:val="28"/>
                <w:szCs w:val="28"/>
              </w:rPr>
              <w:t>Plānotās sabiedrības līdzdalības un komunikācijas aktivitātes saistībā ar projektu</w:t>
            </w:r>
          </w:p>
        </w:tc>
        <w:tc>
          <w:tcPr>
            <w:tcW w:w="2752" w:type="pct"/>
            <w:hideMark/>
          </w:tcPr>
          <w:p w14:paraId="74D0B8F0" w14:textId="68EB7366" w:rsidR="00E71750" w:rsidRPr="00A82993" w:rsidRDefault="00E2058C" w:rsidP="005B1D7F">
            <w:pPr>
              <w:ind w:left="-24" w:right="156" w:firstLine="24"/>
              <w:contextualSpacing/>
              <w:jc w:val="both"/>
              <w:rPr>
                <w:sz w:val="28"/>
                <w:szCs w:val="28"/>
              </w:rPr>
            </w:pPr>
            <w:r>
              <w:rPr>
                <w:sz w:val="28"/>
                <w:szCs w:val="28"/>
              </w:rPr>
              <w:t>Noteikumu projektā ietvertais regulējums neietekmē sabiedrības intereses, bet attiecas uz VID un CSDD savstarpējo sadarbību DRN par transportlīdzekli iekasēšanā. Neskatoties uz to, ka noteikumu projekta regulējums neskar sabiedrības intereses</w:t>
            </w:r>
            <w:r w:rsidR="008109DE">
              <w:rPr>
                <w:sz w:val="28"/>
                <w:szCs w:val="28"/>
              </w:rPr>
              <w:t>,</w:t>
            </w:r>
            <w:r>
              <w:rPr>
                <w:sz w:val="28"/>
                <w:szCs w:val="28"/>
              </w:rPr>
              <w:t xml:space="preserve"> i</w:t>
            </w:r>
            <w:r w:rsidR="00C31D15" w:rsidRPr="00336044">
              <w:rPr>
                <w:sz w:val="28"/>
                <w:szCs w:val="28"/>
              </w:rPr>
              <w:t xml:space="preserve">nformācija par projekta izstrādi ir publicēta Finanšu ministrijas tīmekļvietnē sadaļā “Sabiedrības līdzdalība” – “Tiesību aktu projekti” – “Nodokļu politika”. Līdz ar to sabiedrības pārstāvji varēja līdzdarboties projekta izstrādē, </w:t>
            </w:r>
            <w:proofErr w:type="spellStart"/>
            <w:r w:rsidR="00C31D15" w:rsidRPr="00336044">
              <w:rPr>
                <w:sz w:val="28"/>
                <w:szCs w:val="28"/>
              </w:rPr>
              <w:t>rakstveidā</w:t>
            </w:r>
            <w:proofErr w:type="spellEnd"/>
            <w:r w:rsidR="00C31D15" w:rsidRPr="00336044">
              <w:rPr>
                <w:sz w:val="28"/>
                <w:szCs w:val="28"/>
              </w:rPr>
              <w:t xml:space="preserve"> sniedzot viedokļus par </w:t>
            </w:r>
            <w:r w:rsidR="00734656">
              <w:rPr>
                <w:sz w:val="28"/>
                <w:szCs w:val="28"/>
              </w:rPr>
              <w:t xml:space="preserve">noteikumu </w:t>
            </w:r>
            <w:r w:rsidR="00C31D15" w:rsidRPr="00336044">
              <w:rPr>
                <w:sz w:val="28"/>
                <w:szCs w:val="28"/>
              </w:rPr>
              <w:t xml:space="preserve">projektu. </w:t>
            </w:r>
          </w:p>
        </w:tc>
      </w:tr>
      <w:tr w:rsidR="00734656" w:rsidRPr="00A82993" w14:paraId="011D1AEC" w14:textId="77777777" w:rsidTr="00A07F2B">
        <w:trPr>
          <w:cantSplit/>
        </w:trPr>
        <w:tc>
          <w:tcPr>
            <w:tcW w:w="233" w:type="pct"/>
            <w:hideMark/>
          </w:tcPr>
          <w:p w14:paraId="54291076" w14:textId="77777777" w:rsidR="00BD5588" w:rsidRPr="00A82993" w:rsidRDefault="00BD5588" w:rsidP="00144D93">
            <w:pPr>
              <w:contextualSpacing/>
              <w:jc w:val="center"/>
              <w:rPr>
                <w:sz w:val="28"/>
                <w:szCs w:val="28"/>
              </w:rPr>
            </w:pPr>
            <w:r w:rsidRPr="00A82993">
              <w:rPr>
                <w:sz w:val="28"/>
                <w:szCs w:val="28"/>
              </w:rPr>
              <w:t>2.</w:t>
            </w:r>
          </w:p>
        </w:tc>
        <w:tc>
          <w:tcPr>
            <w:tcW w:w="2014" w:type="pct"/>
            <w:hideMark/>
          </w:tcPr>
          <w:p w14:paraId="46696884" w14:textId="77777777" w:rsidR="00BD5588" w:rsidRPr="00A82993" w:rsidRDefault="00BD5588" w:rsidP="00144D93">
            <w:pPr>
              <w:contextualSpacing/>
              <w:rPr>
                <w:sz w:val="28"/>
                <w:szCs w:val="28"/>
              </w:rPr>
            </w:pPr>
            <w:r w:rsidRPr="00A82993">
              <w:rPr>
                <w:sz w:val="28"/>
                <w:szCs w:val="28"/>
              </w:rPr>
              <w:t>Sabiedrības līdzdalība projekta izstrādē</w:t>
            </w:r>
          </w:p>
        </w:tc>
        <w:tc>
          <w:tcPr>
            <w:tcW w:w="2752" w:type="pct"/>
            <w:hideMark/>
          </w:tcPr>
          <w:p w14:paraId="0BA6858C" w14:textId="63CF7BC4" w:rsidR="00336044" w:rsidRDefault="00E2058C" w:rsidP="00D701E2">
            <w:pPr>
              <w:ind w:right="156"/>
              <w:contextualSpacing/>
              <w:jc w:val="both"/>
              <w:rPr>
                <w:sz w:val="28"/>
                <w:szCs w:val="28"/>
              </w:rPr>
            </w:pPr>
            <w:r>
              <w:rPr>
                <w:sz w:val="28"/>
                <w:szCs w:val="28"/>
              </w:rPr>
              <w:t>Uzziņa par noteikumu projektu</w:t>
            </w:r>
            <w:r w:rsidR="00C31D15">
              <w:rPr>
                <w:sz w:val="28"/>
                <w:szCs w:val="28"/>
              </w:rPr>
              <w:t xml:space="preserve"> 20</w:t>
            </w:r>
            <w:r w:rsidR="00336044">
              <w:rPr>
                <w:sz w:val="28"/>
                <w:szCs w:val="28"/>
              </w:rPr>
              <w:t>20</w:t>
            </w:r>
            <w:r w:rsidR="00C31D15">
              <w:rPr>
                <w:sz w:val="28"/>
                <w:szCs w:val="28"/>
              </w:rPr>
              <w:t xml:space="preserve">.gada </w:t>
            </w:r>
            <w:r w:rsidR="00336044">
              <w:rPr>
                <w:sz w:val="28"/>
                <w:szCs w:val="28"/>
              </w:rPr>
              <w:t>2.novembrī</w:t>
            </w:r>
            <w:r w:rsidR="00C31D15">
              <w:rPr>
                <w:sz w:val="28"/>
                <w:szCs w:val="28"/>
              </w:rPr>
              <w:t xml:space="preserve"> publicēt</w:t>
            </w:r>
            <w:r>
              <w:rPr>
                <w:sz w:val="28"/>
                <w:szCs w:val="28"/>
              </w:rPr>
              <w:t>a</w:t>
            </w:r>
            <w:r w:rsidR="00C31D15">
              <w:rPr>
                <w:sz w:val="28"/>
                <w:szCs w:val="28"/>
              </w:rPr>
              <w:t xml:space="preserve"> Finanšu ministrijas tīmekļvietnē sadaļā “Sabiedrības līdzdalība” – </w:t>
            </w:r>
          </w:p>
          <w:p w14:paraId="7C82DBCE" w14:textId="77777777" w:rsidR="00E71750" w:rsidRDefault="00C31D15" w:rsidP="00D701E2">
            <w:pPr>
              <w:ind w:right="156"/>
              <w:contextualSpacing/>
              <w:jc w:val="both"/>
              <w:rPr>
                <w:sz w:val="28"/>
                <w:szCs w:val="28"/>
              </w:rPr>
            </w:pPr>
            <w:r>
              <w:rPr>
                <w:sz w:val="28"/>
                <w:szCs w:val="28"/>
              </w:rPr>
              <w:t xml:space="preserve">“Tiesību aktu projekti” – “Nodokļu politika”, adrese </w:t>
            </w:r>
            <w:hyperlink r:id="rId11" w:anchor="project677" w:history="1">
              <w:r w:rsidR="00336044" w:rsidRPr="00D67949">
                <w:rPr>
                  <w:rStyle w:val="Hyperlink"/>
                  <w:sz w:val="28"/>
                  <w:szCs w:val="28"/>
                </w:rPr>
                <w:t>https://www.fm.gov.lv/lv/sabiedribas_lidzdaliba/tiesibu_aktu_projekti/nodoklu_politika#project677</w:t>
              </w:r>
            </w:hyperlink>
            <w:r w:rsidR="00336044">
              <w:rPr>
                <w:sz w:val="28"/>
                <w:szCs w:val="28"/>
              </w:rPr>
              <w:t xml:space="preserve"> </w:t>
            </w:r>
          </w:p>
          <w:p w14:paraId="54DB6E23" w14:textId="64FAAADC" w:rsidR="00726E3F" w:rsidRPr="00A82993" w:rsidRDefault="00726E3F" w:rsidP="00160BA3">
            <w:pPr>
              <w:ind w:right="156"/>
              <w:contextualSpacing/>
              <w:jc w:val="both"/>
              <w:rPr>
                <w:sz w:val="28"/>
                <w:szCs w:val="28"/>
              </w:rPr>
            </w:pPr>
            <w:r>
              <w:rPr>
                <w:sz w:val="28"/>
                <w:szCs w:val="28"/>
              </w:rPr>
              <w:t>Latvijas Brīvo arodbiedrību savienība</w:t>
            </w:r>
            <w:r w:rsidR="00CB3128">
              <w:rPr>
                <w:sz w:val="28"/>
                <w:szCs w:val="28"/>
              </w:rPr>
              <w:t xml:space="preserve"> un</w:t>
            </w:r>
            <w:r>
              <w:rPr>
                <w:sz w:val="28"/>
                <w:szCs w:val="28"/>
              </w:rPr>
              <w:t xml:space="preserve"> </w:t>
            </w:r>
            <w:r w:rsidR="00CB3128">
              <w:rPr>
                <w:sz w:val="28"/>
                <w:szCs w:val="28"/>
              </w:rPr>
              <w:t>Latvijas Darba devēju konfederācija</w:t>
            </w:r>
            <w:r>
              <w:rPr>
                <w:sz w:val="28"/>
                <w:szCs w:val="28"/>
              </w:rPr>
              <w:t xml:space="preserve"> saskaņoja noteikumu projektu bez iebildumiem un priekšlikumiem. </w:t>
            </w:r>
          </w:p>
        </w:tc>
      </w:tr>
      <w:tr w:rsidR="00BD5588" w:rsidRPr="00A82993" w14:paraId="6A0AEEB9" w14:textId="77777777" w:rsidTr="00A07F2B">
        <w:trPr>
          <w:cantSplit/>
        </w:trPr>
        <w:tc>
          <w:tcPr>
            <w:tcW w:w="233" w:type="pct"/>
            <w:hideMark/>
          </w:tcPr>
          <w:p w14:paraId="549E79EB" w14:textId="77777777" w:rsidR="00BD5588" w:rsidRPr="00A82993" w:rsidRDefault="00BD5588" w:rsidP="00144D93">
            <w:pPr>
              <w:contextualSpacing/>
              <w:jc w:val="center"/>
              <w:rPr>
                <w:sz w:val="28"/>
                <w:szCs w:val="28"/>
              </w:rPr>
            </w:pPr>
            <w:r w:rsidRPr="00A82993">
              <w:rPr>
                <w:sz w:val="28"/>
                <w:szCs w:val="28"/>
              </w:rPr>
              <w:t>3.</w:t>
            </w:r>
          </w:p>
        </w:tc>
        <w:tc>
          <w:tcPr>
            <w:tcW w:w="2014" w:type="pct"/>
            <w:hideMark/>
          </w:tcPr>
          <w:p w14:paraId="5EB81053" w14:textId="77777777" w:rsidR="00BD5588" w:rsidRPr="00A82993" w:rsidRDefault="00BD5588" w:rsidP="00144D93">
            <w:pPr>
              <w:contextualSpacing/>
              <w:rPr>
                <w:sz w:val="28"/>
                <w:szCs w:val="28"/>
              </w:rPr>
            </w:pPr>
            <w:r w:rsidRPr="00A82993">
              <w:rPr>
                <w:sz w:val="28"/>
                <w:szCs w:val="28"/>
              </w:rPr>
              <w:t>Sabiedrības līdzdalības rezultāti</w:t>
            </w:r>
          </w:p>
        </w:tc>
        <w:tc>
          <w:tcPr>
            <w:tcW w:w="2752" w:type="pct"/>
            <w:hideMark/>
          </w:tcPr>
          <w:p w14:paraId="5657314B" w14:textId="3593DA2C" w:rsidR="00BD6411" w:rsidRPr="00A82993" w:rsidRDefault="00336044" w:rsidP="00100280">
            <w:pPr>
              <w:ind w:right="156"/>
              <w:contextualSpacing/>
              <w:jc w:val="both"/>
              <w:rPr>
                <w:sz w:val="28"/>
                <w:szCs w:val="28"/>
              </w:rPr>
            </w:pPr>
            <w:r>
              <w:rPr>
                <w:sz w:val="28"/>
                <w:szCs w:val="28"/>
              </w:rPr>
              <w:t>Sabiedrības pārstāvju iebildumi un priekšlikumi nav saņemti.</w:t>
            </w:r>
          </w:p>
        </w:tc>
      </w:tr>
      <w:tr w:rsidR="00BD5588" w:rsidRPr="00A82993" w14:paraId="5FF4D50E" w14:textId="77777777" w:rsidTr="00A07F2B">
        <w:trPr>
          <w:cantSplit/>
        </w:trPr>
        <w:tc>
          <w:tcPr>
            <w:tcW w:w="233" w:type="pct"/>
            <w:hideMark/>
          </w:tcPr>
          <w:p w14:paraId="40751F4D" w14:textId="77777777" w:rsidR="00BD5588" w:rsidRPr="00A82993" w:rsidRDefault="00BD5588" w:rsidP="00144D93">
            <w:pPr>
              <w:contextualSpacing/>
              <w:jc w:val="center"/>
              <w:rPr>
                <w:sz w:val="28"/>
                <w:szCs w:val="28"/>
              </w:rPr>
            </w:pPr>
            <w:r w:rsidRPr="00A82993">
              <w:rPr>
                <w:sz w:val="28"/>
                <w:szCs w:val="28"/>
              </w:rPr>
              <w:t>4.</w:t>
            </w:r>
          </w:p>
        </w:tc>
        <w:tc>
          <w:tcPr>
            <w:tcW w:w="2014" w:type="pct"/>
            <w:hideMark/>
          </w:tcPr>
          <w:p w14:paraId="683E9C9F" w14:textId="77777777" w:rsidR="00BD5588" w:rsidRPr="00A82993" w:rsidRDefault="00BD5588" w:rsidP="00144D93">
            <w:pPr>
              <w:contextualSpacing/>
              <w:rPr>
                <w:sz w:val="28"/>
                <w:szCs w:val="28"/>
              </w:rPr>
            </w:pPr>
            <w:r w:rsidRPr="00A82993">
              <w:rPr>
                <w:sz w:val="28"/>
                <w:szCs w:val="28"/>
              </w:rPr>
              <w:t>Cita informācija</w:t>
            </w:r>
          </w:p>
        </w:tc>
        <w:tc>
          <w:tcPr>
            <w:tcW w:w="2752" w:type="pct"/>
            <w:hideMark/>
          </w:tcPr>
          <w:p w14:paraId="450B5CD3" w14:textId="77777777" w:rsidR="00BD5588" w:rsidRPr="00A82993" w:rsidRDefault="00E376B2" w:rsidP="00BD6411">
            <w:pPr>
              <w:ind w:right="156"/>
              <w:contextualSpacing/>
              <w:rPr>
                <w:sz w:val="28"/>
                <w:szCs w:val="28"/>
              </w:rPr>
            </w:pPr>
            <w:r w:rsidRPr="00A82993">
              <w:rPr>
                <w:sz w:val="28"/>
                <w:szCs w:val="28"/>
              </w:rPr>
              <w:t>Nav</w:t>
            </w:r>
          </w:p>
        </w:tc>
      </w:tr>
    </w:tbl>
    <w:p w14:paraId="152D6838" w14:textId="77777777" w:rsidR="005F56F1" w:rsidRDefault="005F56F1" w:rsidP="00C8498E">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1"/>
        <w:gridCol w:w="3353"/>
        <w:gridCol w:w="5147"/>
      </w:tblGrid>
      <w:tr w:rsidR="00BD5588" w:rsidRPr="00A82993" w14:paraId="1CE9984B" w14:textId="77777777" w:rsidTr="009D5385">
        <w:trPr>
          <w:cantSplit/>
        </w:trPr>
        <w:tc>
          <w:tcPr>
            <w:tcW w:w="5000" w:type="pct"/>
            <w:gridSpan w:val="3"/>
            <w:vAlign w:val="center"/>
            <w:hideMark/>
          </w:tcPr>
          <w:p w14:paraId="473A6571" w14:textId="2F6D15AD" w:rsidR="00BD5588" w:rsidRPr="005F56F1" w:rsidRDefault="00BD5588" w:rsidP="005F56F1">
            <w:pPr>
              <w:contextualSpacing/>
              <w:jc w:val="center"/>
              <w:rPr>
                <w:b/>
                <w:bCs/>
                <w:sz w:val="28"/>
                <w:szCs w:val="28"/>
              </w:rPr>
            </w:pPr>
            <w:r w:rsidRPr="00A82993">
              <w:rPr>
                <w:b/>
                <w:bCs/>
                <w:sz w:val="28"/>
                <w:szCs w:val="28"/>
              </w:rPr>
              <w:t>VII. Tiesību akta projekta izpildes nodrošināšana un tās ietekme uz institūcijām</w:t>
            </w:r>
          </w:p>
        </w:tc>
      </w:tr>
      <w:tr w:rsidR="00BD5588" w:rsidRPr="00A82993" w14:paraId="51ECA795" w14:textId="77777777" w:rsidTr="009D5385">
        <w:trPr>
          <w:cantSplit/>
        </w:trPr>
        <w:tc>
          <w:tcPr>
            <w:tcW w:w="310" w:type="pct"/>
            <w:hideMark/>
          </w:tcPr>
          <w:p w14:paraId="48843D8D" w14:textId="77777777" w:rsidR="00BD5588" w:rsidRPr="00A82993" w:rsidRDefault="00BD5588" w:rsidP="00144D93">
            <w:pPr>
              <w:contextualSpacing/>
              <w:jc w:val="center"/>
              <w:rPr>
                <w:sz w:val="28"/>
                <w:szCs w:val="28"/>
              </w:rPr>
            </w:pPr>
            <w:r w:rsidRPr="00A82993">
              <w:rPr>
                <w:sz w:val="28"/>
                <w:szCs w:val="28"/>
              </w:rPr>
              <w:t>1.</w:t>
            </w:r>
          </w:p>
        </w:tc>
        <w:tc>
          <w:tcPr>
            <w:tcW w:w="1850" w:type="pct"/>
            <w:hideMark/>
          </w:tcPr>
          <w:p w14:paraId="05695C8A" w14:textId="69D7B026" w:rsidR="00BD5588" w:rsidRPr="00336044" w:rsidRDefault="00BD5588" w:rsidP="00336044">
            <w:pPr>
              <w:contextualSpacing/>
              <w:rPr>
                <w:sz w:val="28"/>
                <w:szCs w:val="28"/>
              </w:rPr>
            </w:pPr>
            <w:r w:rsidRPr="00A82993">
              <w:rPr>
                <w:sz w:val="28"/>
                <w:szCs w:val="28"/>
              </w:rPr>
              <w:t>Projekta izpildē iesaistītās institūcijas</w:t>
            </w:r>
          </w:p>
        </w:tc>
        <w:tc>
          <w:tcPr>
            <w:tcW w:w="2840" w:type="pct"/>
            <w:hideMark/>
          </w:tcPr>
          <w:p w14:paraId="172718BC" w14:textId="77777777" w:rsidR="00937CAD" w:rsidRPr="00A82993" w:rsidRDefault="00A82993" w:rsidP="00A82993">
            <w:pPr>
              <w:ind w:right="159"/>
              <w:contextualSpacing/>
              <w:jc w:val="both"/>
              <w:rPr>
                <w:sz w:val="28"/>
                <w:szCs w:val="28"/>
              </w:rPr>
            </w:pPr>
            <w:r w:rsidRPr="00A82993">
              <w:rPr>
                <w:sz w:val="28"/>
                <w:szCs w:val="28"/>
              </w:rPr>
              <w:t>VID, CSDD, Valsts kase</w:t>
            </w:r>
          </w:p>
        </w:tc>
      </w:tr>
      <w:tr w:rsidR="00BD5588" w:rsidRPr="00A82993" w14:paraId="0FB70492" w14:textId="77777777" w:rsidTr="009D5385">
        <w:trPr>
          <w:cantSplit/>
        </w:trPr>
        <w:tc>
          <w:tcPr>
            <w:tcW w:w="310" w:type="pct"/>
            <w:hideMark/>
          </w:tcPr>
          <w:p w14:paraId="7EE5DD4F" w14:textId="77777777" w:rsidR="00BD5588" w:rsidRPr="00A82993" w:rsidRDefault="00BD5588" w:rsidP="00144D93">
            <w:pPr>
              <w:contextualSpacing/>
              <w:jc w:val="center"/>
              <w:rPr>
                <w:sz w:val="28"/>
                <w:szCs w:val="28"/>
              </w:rPr>
            </w:pPr>
            <w:r w:rsidRPr="00A82993">
              <w:rPr>
                <w:sz w:val="28"/>
                <w:szCs w:val="28"/>
              </w:rPr>
              <w:lastRenderedPageBreak/>
              <w:t>2.</w:t>
            </w:r>
          </w:p>
        </w:tc>
        <w:tc>
          <w:tcPr>
            <w:tcW w:w="1850" w:type="pct"/>
            <w:hideMark/>
          </w:tcPr>
          <w:p w14:paraId="53682C44" w14:textId="77777777" w:rsidR="00BD5588" w:rsidRPr="00A82993" w:rsidRDefault="00BD5588" w:rsidP="00144D93">
            <w:pPr>
              <w:contextualSpacing/>
              <w:rPr>
                <w:sz w:val="28"/>
                <w:szCs w:val="28"/>
              </w:rPr>
            </w:pPr>
            <w:r w:rsidRPr="00A82993">
              <w:rPr>
                <w:sz w:val="28"/>
                <w:szCs w:val="28"/>
              </w:rPr>
              <w:t>Projekta izpildes ietekme uz pārvaldes funkcijām un institucionālo struktūru.</w:t>
            </w:r>
            <w:r w:rsidRPr="00A82993">
              <w:rPr>
                <w:sz w:val="28"/>
                <w:szCs w:val="28"/>
              </w:rPr>
              <w:br/>
              <w:t>Jaunu institūciju izveide, esošu institūciju likvidācija vai reorganizācija, to ietekme uz institūcijas cilvēkresursiem</w:t>
            </w:r>
          </w:p>
        </w:tc>
        <w:tc>
          <w:tcPr>
            <w:tcW w:w="2840" w:type="pct"/>
            <w:hideMark/>
          </w:tcPr>
          <w:p w14:paraId="5E76FD40" w14:textId="77777777" w:rsidR="00FB53BA" w:rsidRPr="00A82993" w:rsidRDefault="00FB53BA" w:rsidP="005F56F1">
            <w:pPr>
              <w:ind w:left="67" w:right="159" w:hanging="42"/>
              <w:contextualSpacing/>
              <w:jc w:val="both"/>
              <w:rPr>
                <w:sz w:val="28"/>
                <w:szCs w:val="28"/>
              </w:rPr>
            </w:pPr>
            <w:r w:rsidRPr="00A82993">
              <w:rPr>
                <w:sz w:val="28"/>
                <w:szCs w:val="28"/>
              </w:rPr>
              <w:t>Noteikumu projekta īstenošana tiks veikta esošo institūciju un cilvēkresursu ietvaros.</w:t>
            </w:r>
          </w:p>
          <w:p w14:paraId="15DE6435" w14:textId="77777777" w:rsidR="006A31C3" w:rsidRPr="00A82993" w:rsidRDefault="00FB53BA" w:rsidP="005F56F1">
            <w:pPr>
              <w:ind w:left="67" w:right="159" w:hanging="42"/>
              <w:contextualSpacing/>
              <w:jc w:val="both"/>
              <w:rPr>
                <w:sz w:val="28"/>
                <w:szCs w:val="28"/>
              </w:rPr>
            </w:pPr>
            <w:r w:rsidRPr="00A82993">
              <w:rPr>
                <w:sz w:val="28"/>
                <w:szCs w:val="28"/>
              </w:rPr>
              <w:t>Jaunas institūcijas netiks veidotas un nav nepieciešams likvidēt vai reorganizēt esošās institūcijas. Līdz ar to noteikumu projekta izpilde neietekmēs institūciju cilvēkresursus.</w:t>
            </w:r>
          </w:p>
        </w:tc>
      </w:tr>
      <w:tr w:rsidR="00BD5588" w:rsidRPr="00A82993" w14:paraId="26F0688A" w14:textId="77777777" w:rsidTr="009D5385">
        <w:trPr>
          <w:cantSplit/>
        </w:trPr>
        <w:tc>
          <w:tcPr>
            <w:tcW w:w="310" w:type="pct"/>
            <w:hideMark/>
          </w:tcPr>
          <w:p w14:paraId="7B371B2B" w14:textId="77777777" w:rsidR="00BD5588" w:rsidRPr="00A82993" w:rsidRDefault="00BD5588" w:rsidP="00144D93">
            <w:pPr>
              <w:contextualSpacing/>
              <w:jc w:val="center"/>
              <w:rPr>
                <w:sz w:val="28"/>
                <w:szCs w:val="28"/>
              </w:rPr>
            </w:pPr>
            <w:r w:rsidRPr="00A82993">
              <w:rPr>
                <w:sz w:val="28"/>
                <w:szCs w:val="28"/>
              </w:rPr>
              <w:t>3.</w:t>
            </w:r>
          </w:p>
        </w:tc>
        <w:tc>
          <w:tcPr>
            <w:tcW w:w="1850" w:type="pct"/>
            <w:hideMark/>
          </w:tcPr>
          <w:p w14:paraId="0C1A416D" w14:textId="77777777" w:rsidR="00BD5588" w:rsidRPr="00A82993" w:rsidRDefault="00BD5588" w:rsidP="00144D93">
            <w:pPr>
              <w:contextualSpacing/>
              <w:rPr>
                <w:sz w:val="28"/>
                <w:szCs w:val="28"/>
              </w:rPr>
            </w:pPr>
            <w:r w:rsidRPr="00A82993">
              <w:rPr>
                <w:sz w:val="28"/>
                <w:szCs w:val="28"/>
              </w:rPr>
              <w:t>Cita informācija</w:t>
            </w:r>
          </w:p>
        </w:tc>
        <w:tc>
          <w:tcPr>
            <w:tcW w:w="2840" w:type="pct"/>
            <w:hideMark/>
          </w:tcPr>
          <w:p w14:paraId="664CAF5D" w14:textId="77777777" w:rsidR="00BD5588" w:rsidRPr="00A82993" w:rsidRDefault="002E49FE" w:rsidP="00C8498E">
            <w:pPr>
              <w:ind w:right="159"/>
              <w:contextualSpacing/>
              <w:rPr>
                <w:sz w:val="28"/>
                <w:szCs w:val="28"/>
              </w:rPr>
            </w:pPr>
            <w:r w:rsidRPr="00A82993">
              <w:rPr>
                <w:sz w:val="28"/>
                <w:szCs w:val="28"/>
              </w:rPr>
              <w:t>Nav</w:t>
            </w:r>
          </w:p>
        </w:tc>
      </w:tr>
    </w:tbl>
    <w:p w14:paraId="6FE7433B" w14:textId="77777777" w:rsidR="0051655D" w:rsidRPr="00A82993" w:rsidRDefault="0051655D" w:rsidP="00144D93">
      <w:pPr>
        <w:contextualSpacing/>
        <w:rPr>
          <w:sz w:val="28"/>
          <w:szCs w:val="28"/>
        </w:rPr>
      </w:pPr>
    </w:p>
    <w:p w14:paraId="160B2B1E" w14:textId="77777777" w:rsidR="00C8498E" w:rsidRPr="00A82993" w:rsidRDefault="00C8498E" w:rsidP="00144D93">
      <w:pPr>
        <w:contextualSpacing/>
        <w:rPr>
          <w:sz w:val="28"/>
          <w:szCs w:val="28"/>
        </w:rPr>
      </w:pPr>
    </w:p>
    <w:p w14:paraId="21BA10FF" w14:textId="77777777" w:rsidR="00A50144" w:rsidRPr="00A82993" w:rsidRDefault="00E6236D" w:rsidP="00C8498E">
      <w:pPr>
        <w:tabs>
          <w:tab w:val="left" w:pos="7230"/>
        </w:tabs>
        <w:rPr>
          <w:bCs/>
          <w:sz w:val="28"/>
          <w:szCs w:val="28"/>
          <w:lang w:eastAsia="en-US"/>
        </w:rPr>
      </w:pPr>
      <w:r>
        <w:rPr>
          <w:color w:val="000000"/>
          <w:sz w:val="28"/>
          <w:szCs w:val="28"/>
        </w:rPr>
        <w:t>Finanšu</w:t>
      </w:r>
      <w:r w:rsidR="003D655A" w:rsidRPr="00A82993">
        <w:rPr>
          <w:color w:val="000000"/>
          <w:sz w:val="28"/>
          <w:szCs w:val="28"/>
        </w:rPr>
        <w:t xml:space="preserve"> ministrs</w:t>
      </w:r>
      <w:r w:rsidR="003D655A" w:rsidRPr="00A82993">
        <w:rPr>
          <w:color w:val="000000"/>
          <w:sz w:val="28"/>
          <w:szCs w:val="28"/>
        </w:rPr>
        <w:tab/>
      </w:r>
      <w:r>
        <w:rPr>
          <w:color w:val="000000"/>
          <w:sz w:val="28"/>
          <w:szCs w:val="28"/>
        </w:rPr>
        <w:t>Jānis Reirs</w:t>
      </w:r>
    </w:p>
    <w:p w14:paraId="7A2AC340" w14:textId="77777777" w:rsidR="00A50144" w:rsidRPr="00A82993" w:rsidRDefault="00A50144" w:rsidP="00C8498E">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rPr>
          <w:bCs/>
          <w:sz w:val="28"/>
          <w:szCs w:val="28"/>
          <w:lang w:eastAsia="en-US"/>
        </w:rPr>
      </w:pPr>
    </w:p>
    <w:p w14:paraId="55916C6E" w14:textId="77777777" w:rsidR="00C8498E" w:rsidRPr="00A82993" w:rsidRDefault="00C8498E" w:rsidP="00C8498E">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rPr>
          <w:bCs/>
          <w:sz w:val="28"/>
          <w:szCs w:val="28"/>
          <w:lang w:eastAsia="en-US"/>
        </w:rPr>
      </w:pPr>
    </w:p>
    <w:p w14:paraId="35097084" w14:textId="31FF41DF" w:rsidR="00C8498E" w:rsidRDefault="00C8498E" w:rsidP="00A87A73">
      <w:pPr>
        <w:rPr>
          <w:rFonts w:eastAsiaTheme="minorHAnsi"/>
          <w:sz w:val="28"/>
          <w:szCs w:val="28"/>
        </w:rPr>
      </w:pPr>
    </w:p>
    <w:p w14:paraId="288ECB00" w14:textId="6694FE06" w:rsidR="005F56F1" w:rsidRDefault="005F56F1" w:rsidP="00A87A73">
      <w:pPr>
        <w:rPr>
          <w:rFonts w:eastAsiaTheme="minorHAnsi"/>
          <w:sz w:val="28"/>
          <w:szCs w:val="28"/>
        </w:rPr>
      </w:pPr>
    </w:p>
    <w:p w14:paraId="7CE20AA9" w14:textId="55A2180C" w:rsidR="005F56F1" w:rsidRDefault="005F56F1" w:rsidP="00A87A73">
      <w:pPr>
        <w:rPr>
          <w:rFonts w:eastAsiaTheme="minorHAnsi"/>
          <w:sz w:val="28"/>
          <w:szCs w:val="28"/>
        </w:rPr>
      </w:pPr>
    </w:p>
    <w:p w14:paraId="46816D2F" w14:textId="7DFE9493" w:rsidR="005F56F1" w:rsidRDefault="005F56F1" w:rsidP="00A87A73">
      <w:pPr>
        <w:rPr>
          <w:rFonts w:eastAsiaTheme="minorHAnsi"/>
          <w:sz w:val="28"/>
          <w:szCs w:val="28"/>
        </w:rPr>
      </w:pPr>
    </w:p>
    <w:p w14:paraId="2A96D50C" w14:textId="6E6F9295" w:rsidR="005F56F1" w:rsidRDefault="005F56F1" w:rsidP="00A87A73">
      <w:pPr>
        <w:rPr>
          <w:rFonts w:eastAsiaTheme="minorHAnsi"/>
          <w:sz w:val="28"/>
          <w:szCs w:val="28"/>
        </w:rPr>
      </w:pPr>
    </w:p>
    <w:p w14:paraId="4957605B" w14:textId="1B5591E1" w:rsidR="005F56F1" w:rsidRDefault="005F56F1" w:rsidP="00A87A73">
      <w:pPr>
        <w:rPr>
          <w:rFonts w:eastAsiaTheme="minorHAnsi"/>
          <w:sz w:val="28"/>
          <w:szCs w:val="28"/>
        </w:rPr>
      </w:pPr>
    </w:p>
    <w:p w14:paraId="3CCA18BD" w14:textId="2F372DA9" w:rsidR="005F56F1" w:rsidRDefault="005F56F1" w:rsidP="00A87A73">
      <w:pPr>
        <w:rPr>
          <w:rFonts w:eastAsiaTheme="minorHAnsi"/>
          <w:sz w:val="28"/>
          <w:szCs w:val="28"/>
        </w:rPr>
      </w:pPr>
    </w:p>
    <w:p w14:paraId="72DF66D6" w14:textId="6F14A7B1" w:rsidR="005F56F1" w:rsidRDefault="005F56F1" w:rsidP="00A87A73">
      <w:pPr>
        <w:rPr>
          <w:rFonts w:eastAsiaTheme="minorHAnsi"/>
          <w:sz w:val="28"/>
          <w:szCs w:val="28"/>
        </w:rPr>
      </w:pPr>
    </w:p>
    <w:p w14:paraId="06721FD3" w14:textId="5402B27E" w:rsidR="005F56F1" w:rsidRDefault="005F56F1" w:rsidP="00A87A73">
      <w:pPr>
        <w:rPr>
          <w:rFonts w:eastAsiaTheme="minorHAnsi"/>
          <w:sz w:val="28"/>
          <w:szCs w:val="28"/>
        </w:rPr>
      </w:pPr>
    </w:p>
    <w:p w14:paraId="06866A90" w14:textId="2212FC8B" w:rsidR="005F56F1" w:rsidRDefault="005F56F1" w:rsidP="00A87A73">
      <w:pPr>
        <w:rPr>
          <w:rFonts w:eastAsiaTheme="minorHAnsi"/>
          <w:sz w:val="28"/>
          <w:szCs w:val="28"/>
        </w:rPr>
      </w:pPr>
    </w:p>
    <w:p w14:paraId="4D6F3730" w14:textId="277E21B1" w:rsidR="005F56F1" w:rsidRDefault="005F56F1" w:rsidP="00A87A73">
      <w:pPr>
        <w:rPr>
          <w:rFonts w:eastAsiaTheme="minorHAnsi"/>
          <w:sz w:val="28"/>
          <w:szCs w:val="28"/>
        </w:rPr>
      </w:pPr>
    </w:p>
    <w:p w14:paraId="2CDF5101" w14:textId="4C157FD1" w:rsidR="005F56F1" w:rsidRDefault="005F56F1" w:rsidP="00A87A73">
      <w:pPr>
        <w:rPr>
          <w:rFonts w:eastAsiaTheme="minorHAnsi"/>
          <w:sz w:val="28"/>
          <w:szCs w:val="28"/>
        </w:rPr>
      </w:pPr>
    </w:p>
    <w:p w14:paraId="6FD54CD0" w14:textId="6E6CF95F" w:rsidR="005F56F1" w:rsidRDefault="005F56F1" w:rsidP="00A87A73">
      <w:pPr>
        <w:rPr>
          <w:rFonts w:eastAsiaTheme="minorHAnsi"/>
          <w:sz w:val="28"/>
          <w:szCs w:val="28"/>
        </w:rPr>
      </w:pPr>
    </w:p>
    <w:p w14:paraId="65A7A726" w14:textId="235EFF3D" w:rsidR="005F56F1" w:rsidRDefault="005F56F1" w:rsidP="00A87A73">
      <w:pPr>
        <w:rPr>
          <w:rFonts w:eastAsiaTheme="minorHAnsi"/>
          <w:sz w:val="28"/>
          <w:szCs w:val="28"/>
        </w:rPr>
      </w:pPr>
    </w:p>
    <w:p w14:paraId="7C6124DB" w14:textId="0D112038" w:rsidR="005F56F1" w:rsidRDefault="005F56F1" w:rsidP="00A87A73">
      <w:pPr>
        <w:rPr>
          <w:rFonts w:eastAsiaTheme="minorHAnsi"/>
          <w:sz w:val="28"/>
          <w:szCs w:val="28"/>
        </w:rPr>
      </w:pPr>
    </w:p>
    <w:p w14:paraId="650DB592" w14:textId="0D3D15B4" w:rsidR="005F56F1" w:rsidRDefault="005F56F1" w:rsidP="00A87A73">
      <w:pPr>
        <w:rPr>
          <w:rFonts w:eastAsiaTheme="minorHAnsi"/>
          <w:sz w:val="28"/>
          <w:szCs w:val="28"/>
        </w:rPr>
      </w:pPr>
    </w:p>
    <w:p w14:paraId="7B765BA6" w14:textId="7DBCE247" w:rsidR="005F56F1" w:rsidRDefault="005F56F1" w:rsidP="00A87A73">
      <w:pPr>
        <w:rPr>
          <w:rFonts w:eastAsiaTheme="minorHAnsi"/>
          <w:sz w:val="28"/>
          <w:szCs w:val="28"/>
        </w:rPr>
      </w:pPr>
    </w:p>
    <w:p w14:paraId="5241B826" w14:textId="55C4847A" w:rsidR="005F56F1" w:rsidRDefault="005F56F1" w:rsidP="00A87A73">
      <w:pPr>
        <w:rPr>
          <w:rFonts w:eastAsiaTheme="minorHAnsi"/>
          <w:sz w:val="28"/>
          <w:szCs w:val="28"/>
        </w:rPr>
      </w:pPr>
    </w:p>
    <w:p w14:paraId="7CF0E47B" w14:textId="23D093AF" w:rsidR="005F56F1" w:rsidRDefault="005F56F1" w:rsidP="00A87A73">
      <w:pPr>
        <w:rPr>
          <w:rFonts w:eastAsiaTheme="minorHAnsi"/>
          <w:sz w:val="28"/>
          <w:szCs w:val="28"/>
        </w:rPr>
      </w:pPr>
    </w:p>
    <w:p w14:paraId="13BE7120" w14:textId="1B66A0E8" w:rsidR="005F56F1" w:rsidRDefault="005F56F1" w:rsidP="00A87A73">
      <w:pPr>
        <w:rPr>
          <w:rFonts w:eastAsiaTheme="minorHAnsi"/>
          <w:sz w:val="28"/>
          <w:szCs w:val="28"/>
        </w:rPr>
      </w:pPr>
    </w:p>
    <w:p w14:paraId="4B37B774" w14:textId="2495755D" w:rsidR="005F56F1" w:rsidRDefault="005F56F1" w:rsidP="00A87A73">
      <w:pPr>
        <w:rPr>
          <w:rFonts w:eastAsiaTheme="minorHAnsi"/>
          <w:sz w:val="28"/>
          <w:szCs w:val="28"/>
        </w:rPr>
      </w:pPr>
    </w:p>
    <w:p w14:paraId="14C4447C" w14:textId="77777777" w:rsidR="005F56F1" w:rsidRPr="00A82993" w:rsidRDefault="005F56F1" w:rsidP="00A87A73">
      <w:pPr>
        <w:rPr>
          <w:rFonts w:eastAsiaTheme="minorHAnsi"/>
          <w:sz w:val="28"/>
          <w:szCs w:val="28"/>
        </w:rPr>
      </w:pPr>
    </w:p>
    <w:p w14:paraId="462E37CB" w14:textId="77777777" w:rsidR="00A50144" w:rsidRPr="00B40114" w:rsidRDefault="00E6236D" w:rsidP="00A50144">
      <w:pPr>
        <w:rPr>
          <w:rFonts w:eastAsiaTheme="minorHAnsi"/>
          <w:sz w:val="20"/>
          <w:szCs w:val="20"/>
          <w:lang w:eastAsia="en-US"/>
        </w:rPr>
      </w:pPr>
      <w:r w:rsidRPr="00B40114">
        <w:rPr>
          <w:rFonts w:eastAsiaTheme="minorHAnsi"/>
          <w:sz w:val="20"/>
          <w:szCs w:val="20"/>
          <w:lang w:eastAsia="en-US"/>
        </w:rPr>
        <w:t>Valdmane</w:t>
      </w:r>
      <w:r w:rsidR="00A50144" w:rsidRPr="00B40114">
        <w:rPr>
          <w:rFonts w:eastAsiaTheme="minorHAnsi"/>
          <w:sz w:val="20"/>
          <w:szCs w:val="20"/>
          <w:lang w:eastAsia="en-US"/>
        </w:rPr>
        <w:t xml:space="preserve"> 670</w:t>
      </w:r>
      <w:r w:rsidRPr="00B40114">
        <w:rPr>
          <w:rFonts w:eastAsiaTheme="minorHAnsi"/>
          <w:sz w:val="20"/>
          <w:szCs w:val="20"/>
          <w:lang w:eastAsia="en-US"/>
        </w:rPr>
        <w:t>95524</w:t>
      </w:r>
    </w:p>
    <w:p w14:paraId="761F374B" w14:textId="77777777" w:rsidR="00A50144" w:rsidRPr="00A82993" w:rsidRDefault="006F2052" w:rsidP="00A50144">
      <w:pPr>
        <w:rPr>
          <w:sz w:val="28"/>
          <w:szCs w:val="28"/>
        </w:rPr>
      </w:pPr>
      <w:hyperlink r:id="rId12" w:history="1">
        <w:r w:rsidR="008C46E0" w:rsidRPr="00B40114">
          <w:rPr>
            <w:rStyle w:val="Hyperlink"/>
            <w:sz w:val="20"/>
            <w:szCs w:val="20"/>
          </w:rPr>
          <w:t>Marika.Valdmane@fm.gov.lv</w:t>
        </w:r>
      </w:hyperlink>
    </w:p>
    <w:sectPr w:rsidR="00A50144" w:rsidRPr="00A82993" w:rsidSect="009C74EB">
      <w:headerReference w:type="default" r:id="rId13"/>
      <w:footerReference w:type="default" r:id="rId14"/>
      <w:footerReference w:type="first" r:id="rId15"/>
      <w:pgSz w:w="11906" w:h="16838"/>
      <w:pgMar w:top="1418" w:right="1134" w:bottom="1134" w:left="1701" w:header="709" w:footer="102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C59F" w16cex:dateUtc="2020-11-03T10: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4195E" w14:textId="77777777" w:rsidR="006F2052" w:rsidRDefault="006F2052" w:rsidP="008B4858">
      <w:r>
        <w:separator/>
      </w:r>
    </w:p>
  </w:endnote>
  <w:endnote w:type="continuationSeparator" w:id="0">
    <w:p w14:paraId="000ECD2F" w14:textId="77777777" w:rsidR="006F2052" w:rsidRDefault="006F2052" w:rsidP="008B4858">
      <w:r>
        <w:continuationSeparator/>
      </w:r>
    </w:p>
  </w:endnote>
  <w:endnote w:type="continuationNotice" w:id="1">
    <w:p w14:paraId="4DDB527A" w14:textId="77777777" w:rsidR="006F2052" w:rsidRDefault="006F2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50D71" w14:textId="32A9AB0E" w:rsidR="00572A40" w:rsidRDefault="00572A40">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9C74EB">
      <w:rPr>
        <w:noProof/>
        <w:sz w:val="20"/>
        <w:szCs w:val="20"/>
      </w:rPr>
      <w:t>FMAnot_</w:t>
    </w:r>
    <w:r w:rsidR="00A07F2B">
      <w:rPr>
        <w:noProof/>
        <w:sz w:val="20"/>
        <w:szCs w:val="20"/>
      </w:rPr>
      <w:t>27</w:t>
    </w:r>
    <w:r w:rsidR="009C74EB">
      <w:rPr>
        <w:noProof/>
        <w:sz w:val="20"/>
        <w:szCs w:val="20"/>
      </w:rPr>
      <w:t>1120_</w:t>
    </w:r>
    <w:r w:rsidR="001253EF">
      <w:rPr>
        <w:noProof/>
        <w:sz w:val="20"/>
        <w:szCs w:val="20"/>
      </w:rPr>
      <w:t>DRN.docx</w:t>
    </w:r>
    <w:r w:rsidRPr="00501E9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4631" w14:textId="1141127F" w:rsidR="00572A40" w:rsidRPr="00305238" w:rsidRDefault="00305238">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A07F2B">
      <w:rPr>
        <w:noProof/>
        <w:sz w:val="20"/>
        <w:szCs w:val="20"/>
      </w:rPr>
      <w:t>FMAnot_27</w:t>
    </w:r>
    <w:r w:rsidR="001253EF">
      <w:rPr>
        <w:noProof/>
        <w:sz w:val="20"/>
        <w:szCs w:val="20"/>
      </w:rPr>
      <w:t>1120_DRN.docx</w:t>
    </w:r>
    <w:r w:rsidRPr="00501E9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E6038" w14:textId="77777777" w:rsidR="006F2052" w:rsidRDefault="006F2052" w:rsidP="008B4858">
      <w:r>
        <w:separator/>
      </w:r>
    </w:p>
  </w:footnote>
  <w:footnote w:type="continuationSeparator" w:id="0">
    <w:p w14:paraId="1F9B51C0" w14:textId="77777777" w:rsidR="006F2052" w:rsidRDefault="006F2052" w:rsidP="008B4858">
      <w:r>
        <w:continuationSeparator/>
      </w:r>
    </w:p>
  </w:footnote>
  <w:footnote w:type="continuationNotice" w:id="1">
    <w:p w14:paraId="0E713300" w14:textId="77777777" w:rsidR="006F2052" w:rsidRDefault="006F20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314739"/>
      <w:docPartObj>
        <w:docPartGallery w:val="Page Numbers (Top of Page)"/>
        <w:docPartUnique/>
      </w:docPartObj>
    </w:sdtPr>
    <w:sdtEndPr>
      <w:rPr>
        <w:noProof/>
      </w:rPr>
    </w:sdtEndPr>
    <w:sdtContent>
      <w:p w14:paraId="35F8683E" w14:textId="3C7E7A71" w:rsidR="00572A40" w:rsidRDefault="00572A40">
        <w:pPr>
          <w:pStyle w:val="Header"/>
          <w:jc w:val="center"/>
        </w:pPr>
        <w:r>
          <w:fldChar w:fldCharType="begin"/>
        </w:r>
        <w:r>
          <w:instrText xml:space="preserve"> PAGE   \* MERGEFORMAT </w:instrText>
        </w:r>
        <w:r>
          <w:fldChar w:fldCharType="separate"/>
        </w:r>
        <w:r w:rsidR="00137D7F">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5FA"/>
    <w:multiLevelType w:val="hybridMultilevel"/>
    <w:tmpl w:val="B23A0CB8"/>
    <w:lvl w:ilvl="0" w:tplc="581A35F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E8463F3"/>
    <w:multiLevelType w:val="hybridMultilevel"/>
    <w:tmpl w:val="DA9AE61C"/>
    <w:lvl w:ilvl="0" w:tplc="1D8262C6">
      <w:start w:val="1"/>
      <w:numFmt w:val="decimal"/>
      <w:lvlText w:val="%1."/>
      <w:lvlJc w:val="left"/>
      <w:pPr>
        <w:ind w:left="720" w:hanging="360"/>
      </w:pPr>
      <w:rPr>
        <w:rFonts w:hint="default"/>
        <w:b/>
        <w:color w:val="00000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D53345"/>
    <w:multiLevelType w:val="hybridMultilevel"/>
    <w:tmpl w:val="166CB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7C6D0E"/>
    <w:multiLevelType w:val="hybridMultilevel"/>
    <w:tmpl w:val="224C151A"/>
    <w:lvl w:ilvl="0" w:tplc="4100EFEE">
      <w:start w:val="3"/>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53AC3926"/>
    <w:multiLevelType w:val="hybridMultilevel"/>
    <w:tmpl w:val="3F8A03F0"/>
    <w:lvl w:ilvl="0" w:tplc="4100EFE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12756E"/>
    <w:multiLevelType w:val="hybridMultilevel"/>
    <w:tmpl w:val="D6CCD490"/>
    <w:lvl w:ilvl="0" w:tplc="9E4A005A">
      <w:numFmt w:val="bullet"/>
      <w:lvlText w:val="-"/>
      <w:lvlJc w:val="left"/>
      <w:pPr>
        <w:ind w:left="710" w:hanging="360"/>
      </w:pPr>
      <w:rPr>
        <w:rFonts w:ascii="Times New Roman" w:eastAsia="Times New Roman" w:hAnsi="Times New Roman" w:cs="Times New Roman" w:hint="default"/>
      </w:rPr>
    </w:lvl>
    <w:lvl w:ilvl="1" w:tplc="04260003" w:tentative="1">
      <w:start w:val="1"/>
      <w:numFmt w:val="bullet"/>
      <w:lvlText w:val="o"/>
      <w:lvlJc w:val="left"/>
      <w:pPr>
        <w:ind w:left="1430" w:hanging="360"/>
      </w:pPr>
      <w:rPr>
        <w:rFonts w:ascii="Courier New" w:hAnsi="Courier New" w:cs="Courier New" w:hint="default"/>
      </w:rPr>
    </w:lvl>
    <w:lvl w:ilvl="2" w:tplc="04260005" w:tentative="1">
      <w:start w:val="1"/>
      <w:numFmt w:val="bullet"/>
      <w:lvlText w:val=""/>
      <w:lvlJc w:val="left"/>
      <w:pPr>
        <w:ind w:left="2150" w:hanging="360"/>
      </w:pPr>
      <w:rPr>
        <w:rFonts w:ascii="Wingdings" w:hAnsi="Wingdings" w:hint="default"/>
      </w:rPr>
    </w:lvl>
    <w:lvl w:ilvl="3" w:tplc="04260001" w:tentative="1">
      <w:start w:val="1"/>
      <w:numFmt w:val="bullet"/>
      <w:lvlText w:val=""/>
      <w:lvlJc w:val="left"/>
      <w:pPr>
        <w:ind w:left="2870" w:hanging="360"/>
      </w:pPr>
      <w:rPr>
        <w:rFonts w:ascii="Symbol" w:hAnsi="Symbol" w:hint="default"/>
      </w:rPr>
    </w:lvl>
    <w:lvl w:ilvl="4" w:tplc="04260003" w:tentative="1">
      <w:start w:val="1"/>
      <w:numFmt w:val="bullet"/>
      <w:lvlText w:val="o"/>
      <w:lvlJc w:val="left"/>
      <w:pPr>
        <w:ind w:left="3590" w:hanging="360"/>
      </w:pPr>
      <w:rPr>
        <w:rFonts w:ascii="Courier New" w:hAnsi="Courier New" w:cs="Courier New" w:hint="default"/>
      </w:rPr>
    </w:lvl>
    <w:lvl w:ilvl="5" w:tplc="04260005" w:tentative="1">
      <w:start w:val="1"/>
      <w:numFmt w:val="bullet"/>
      <w:lvlText w:val=""/>
      <w:lvlJc w:val="left"/>
      <w:pPr>
        <w:ind w:left="4310" w:hanging="360"/>
      </w:pPr>
      <w:rPr>
        <w:rFonts w:ascii="Wingdings" w:hAnsi="Wingdings" w:hint="default"/>
      </w:rPr>
    </w:lvl>
    <w:lvl w:ilvl="6" w:tplc="04260001" w:tentative="1">
      <w:start w:val="1"/>
      <w:numFmt w:val="bullet"/>
      <w:lvlText w:val=""/>
      <w:lvlJc w:val="left"/>
      <w:pPr>
        <w:ind w:left="5030" w:hanging="360"/>
      </w:pPr>
      <w:rPr>
        <w:rFonts w:ascii="Symbol" w:hAnsi="Symbol" w:hint="default"/>
      </w:rPr>
    </w:lvl>
    <w:lvl w:ilvl="7" w:tplc="04260003" w:tentative="1">
      <w:start w:val="1"/>
      <w:numFmt w:val="bullet"/>
      <w:lvlText w:val="o"/>
      <w:lvlJc w:val="left"/>
      <w:pPr>
        <w:ind w:left="5750" w:hanging="360"/>
      </w:pPr>
      <w:rPr>
        <w:rFonts w:ascii="Courier New" w:hAnsi="Courier New" w:cs="Courier New" w:hint="default"/>
      </w:rPr>
    </w:lvl>
    <w:lvl w:ilvl="8" w:tplc="04260005" w:tentative="1">
      <w:start w:val="1"/>
      <w:numFmt w:val="bullet"/>
      <w:lvlText w:val=""/>
      <w:lvlJc w:val="left"/>
      <w:pPr>
        <w:ind w:left="6470" w:hanging="360"/>
      </w:pPr>
      <w:rPr>
        <w:rFonts w:ascii="Wingdings" w:hAnsi="Wingdings" w:hint="default"/>
      </w:rPr>
    </w:lvl>
  </w:abstractNum>
  <w:abstractNum w:abstractNumId="6" w15:restartNumberingAfterBreak="0">
    <w:nsid w:val="5AEB2C7A"/>
    <w:multiLevelType w:val="hybridMultilevel"/>
    <w:tmpl w:val="DE865D7A"/>
    <w:lvl w:ilvl="0" w:tplc="4100EFEE">
      <w:start w:val="3"/>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6A7C5737"/>
    <w:multiLevelType w:val="hybridMultilevel"/>
    <w:tmpl w:val="173A7048"/>
    <w:lvl w:ilvl="0" w:tplc="04260001">
      <w:start w:val="14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C0A"/>
    <w:rsid w:val="00002DB0"/>
    <w:rsid w:val="00004315"/>
    <w:rsid w:val="00007AB1"/>
    <w:rsid w:val="000148C6"/>
    <w:rsid w:val="000225DE"/>
    <w:rsid w:val="0002290D"/>
    <w:rsid w:val="00025626"/>
    <w:rsid w:val="00025AB3"/>
    <w:rsid w:val="000353A2"/>
    <w:rsid w:val="00040197"/>
    <w:rsid w:val="000453BB"/>
    <w:rsid w:val="00046E3C"/>
    <w:rsid w:val="00053850"/>
    <w:rsid w:val="00055370"/>
    <w:rsid w:val="000618FB"/>
    <w:rsid w:val="0006615F"/>
    <w:rsid w:val="00067E6B"/>
    <w:rsid w:val="000710C7"/>
    <w:rsid w:val="000715F5"/>
    <w:rsid w:val="000755F0"/>
    <w:rsid w:val="00081509"/>
    <w:rsid w:val="00087F90"/>
    <w:rsid w:val="00091980"/>
    <w:rsid w:val="00091EA8"/>
    <w:rsid w:val="00096A31"/>
    <w:rsid w:val="00097419"/>
    <w:rsid w:val="000A0618"/>
    <w:rsid w:val="000B0AFD"/>
    <w:rsid w:val="000B21DE"/>
    <w:rsid w:val="000C127B"/>
    <w:rsid w:val="000C17EB"/>
    <w:rsid w:val="000C5E49"/>
    <w:rsid w:val="000D717F"/>
    <w:rsid w:val="000E1932"/>
    <w:rsid w:val="000E30EE"/>
    <w:rsid w:val="000F6426"/>
    <w:rsid w:val="00100280"/>
    <w:rsid w:val="0010128A"/>
    <w:rsid w:val="0010129A"/>
    <w:rsid w:val="001032F3"/>
    <w:rsid w:val="00105029"/>
    <w:rsid w:val="0010728A"/>
    <w:rsid w:val="00114967"/>
    <w:rsid w:val="00116213"/>
    <w:rsid w:val="00116500"/>
    <w:rsid w:val="0011685D"/>
    <w:rsid w:val="00120DA4"/>
    <w:rsid w:val="00120F2F"/>
    <w:rsid w:val="0012231F"/>
    <w:rsid w:val="00123C39"/>
    <w:rsid w:val="00124314"/>
    <w:rsid w:val="001253EF"/>
    <w:rsid w:val="0012784C"/>
    <w:rsid w:val="00133A1D"/>
    <w:rsid w:val="00137D7F"/>
    <w:rsid w:val="00143BBE"/>
    <w:rsid w:val="00144D93"/>
    <w:rsid w:val="001464A1"/>
    <w:rsid w:val="00146897"/>
    <w:rsid w:val="001476ED"/>
    <w:rsid w:val="00153C21"/>
    <w:rsid w:val="00154258"/>
    <w:rsid w:val="00160610"/>
    <w:rsid w:val="00160BA3"/>
    <w:rsid w:val="001627DF"/>
    <w:rsid w:val="0016730B"/>
    <w:rsid w:val="00176F19"/>
    <w:rsid w:val="00181AF7"/>
    <w:rsid w:val="00182D02"/>
    <w:rsid w:val="00183AAA"/>
    <w:rsid w:val="00183F29"/>
    <w:rsid w:val="00186F45"/>
    <w:rsid w:val="00187D69"/>
    <w:rsid w:val="00196FA6"/>
    <w:rsid w:val="00197309"/>
    <w:rsid w:val="001A0C58"/>
    <w:rsid w:val="001A4EC6"/>
    <w:rsid w:val="001B6373"/>
    <w:rsid w:val="001C0F07"/>
    <w:rsid w:val="001C4960"/>
    <w:rsid w:val="001C4A1F"/>
    <w:rsid w:val="001C6375"/>
    <w:rsid w:val="001C69A1"/>
    <w:rsid w:val="001D01BC"/>
    <w:rsid w:val="001D4DDE"/>
    <w:rsid w:val="001D75F2"/>
    <w:rsid w:val="001E246D"/>
    <w:rsid w:val="001E7566"/>
    <w:rsid w:val="001E785D"/>
    <w:rsid w:val="001F4063"/>
    <w:rsid w:val="001F40BC"/>
    <w:rsid w:val="00204244"/>
    <w:rsid w:val="002047FD"/>
    <w:rsid w:val="00204D75"/>
    <w:rsid w:val="00206E0F"/>
    <w:rsid w:val="00206E8A"/>
    <w:rsid w:val="002175E0"/>
    <w:rsid w:val="00217F14"/>
    <w:rsid w:val="002247B0"/>
    <w:rsid w:val="002261D9"/>
    <w:rsid w:val="00237351"/>
    <w:rsid w:val="00241CAC"/>
    <w:rsid w:val="002441E5"/>
    <w:rsid w:val="002442B8"/>
    <w:rsid w:val="00253127"/>
    <w:rsid w:val="00254743"/>
    <w:rsid w:val="002600BD"/>
    <w:rsid w:val="00260EB2"/>
    <w:rsid w:val="002617D0"/>
    <w:rsid w:val="00264AF9"/>
    <w:rsid w:val="00267083"/>
    <w:rsid w:val="00267400"/>
    <w:rsid w:val="00267AFF"/>
    <w:rsid w:val="00272D57"/>
    <w:rsid w:val="00274887"/>
    <w:rsid w:val="00275ED3"/>
    <w:rsid w:val="002867BC"/>
    <w:rsid w:val="00286EB4"/>
    <w:rsid w:val="0028740C"/>
    <w:rsid w:val="002912BB"/>
    <w:rsid w:val="002922E5"/>
    <w:rsid w:val="00294470"/>
    <w:rsid w:val="00294B8E"/>
    <w:rsid w:val="0029586A"/>
    <w:rsid w:val="00296137"/>
    <w:rsid w:val="00297D11"/>
    <w:rsid w:val="002A18BE"/>
    <w:rsid w:val="002A228B"/>
    <w:rsid w:val="002B4AB4"/>
    <w:rsid w:val="002B4B66"/>
    <w:rsid w:val="002B5168"/>
    <w:rsid w:val="002B5854"/>
    <w:rsid w:val="002B6F7D"/>
    <w:rsid w:val="002C0E02"/>
    <w:rsid w:val="002C36BD"/>
    <w:rsid w:val="002C3A15"/>
    <w:rsid w:val="002C5A13"/>
    <w:rsid w:val="002C6FBE"/>
    <w:rsid w:val="002D15C9"/>
    <w:rsid w:val="002D1EC9"/>
    <w:rsid w:val="002D29E9"/>
    <w:rsid w:val="002D327C"/>
    <w:rsid w:val="002E045F"/>
    <w:rsid w:val="002E24B0"/>
    <w:rsid w:val="002E373C"/>
    <w:rsid w:val="002E49FE"/>
    <w:rsid w:val="002F0410"/>
    <w:rsid w:val="002F1F85"/>
    <w:rsid w:val="002F29D2"/>
    <w:rsid w:val="002F3201"/>
    <w:rsid w:val="00300591"/>
    <w:rsid w:val="0030068E"/>
    <w:rsid w:val="00301201"/>
    <w:rsid w:val="00302A85"/>
    <w:rsid w:val="00302B45"/>
    <w:rsid w:val="00305238"/>
    <w:rsid w:val="00310A49"/>
    <w:rsid w:val="003117DF"/>
    <w:rsid w:val="003132E4"/>
    <w:rsid w:val="003143FC"/>
    <w:rsid w:val="003172C3"/>
    <w:rsid w:val="003172C4"/>
    <w:rsid w:val="00321097"/>
    <w:rsid w:val="003211AC"/>
    <w:rsid w:val="00323F86"/>
    <w:rsid w:val="00327D07"/>
    <w:rsid w:val="003316C6"/>
    <w:rsid w:val="00335A1D"/>
    <w:rsid w:val="00336044"/>
    <w:rsid w:val="00340852"/>
    <w:rsid w:val="00343282"/>
    <w:rsid w:val="003455EB"/>
    <w:rsid w:val="00346269"/>
    <w:rsid w:val="0035136E"/>
    <w:rsid w:val="00352137"/>
    <w:rsid w:val="0035569D"/>
    <w:rsid w:val="00365A55"/>
    <w:rsid w:val="00366A87"/>
    <w:rsid w:val="003679B9"/>
    <w:rsid w:val="00367C3A"/>
    <w:rsid w:val="00367EF8"/>
    <w:rsid w:val="0037249D"/>
    <w:rsid w:val="00374374"/>
    <w:rsid w:val="00382CE2"/>
    <w:rsid w:val="00386E6C"/>
    <w:rsid w:val="00390AE5"/>
    <w:rsid w:val="0039533E"/>
    <w:rsid w:val="003A03D2"/>
    <w:rsid w:val="003A12EE"/>
    <w:rsid w:val="003A1617"/>
    <w:rsid w:val="003A17F0"/>
    <w:rsid w:val="003A393F"/>
    <w:rsid w:val="003A7E2B"/>
    <w:rsid w:val="003B1540"/>
    <w:rsid w:val="003B1E04"/>
    <w:rsid w:val="003B4BC8"/>
    <w:rsid w:val="003B4FE3"/>
    <w:rsid w:val="003B6DE8"/>
    <w:rsid w:val="003B7A68"/>
    <w:rsid w:val="003C1831"/>
    <w:rsid w:val="003C3303"/>
    <w:rsid w:val="003C42AE"/>
    <w:rsid w:val="003D2A67"/>
    <w:rsid w:val="003D3D27"/>
    <w:rsid w:val="003D5404"/>
    <w:rsid w:val="003D61CD"/>
    <w:rsid w:val="003D655A"/>
    <w:rsid w:val="003D79DD"/>
    <w:rsid w:val="003E1BEF"/>
    <w:rsid w:val="003E385F"/>
    <w:rsid w:val="003E5FE9"/>
    <w:rsid w:val="003E64F7"/>
    <w:rsid w:val="003F057F"/>
    <w:rsid w:val="003F087B"/>
    <w:rsid w:val="003F1746"/>
    <w:rsid w:val="003F174E"/>
    <w:rsid w:val="003F2C9B"/>
    <w:rsid w:val="003F6EA5"/>
    <w:rsid w:val="00402170"/>
    <w:rsid w:val="00410D29"/>
    <w:rsid w:val="00414658"/>
    <w:rsid w:val="0041507D"/>
    <w:rsid w:val="00415F34"/>
    <w:rsid w:val="00416CCD"/>
    <w:rsid w:val="00423868"/>
    <w:rsid w:val="004251AF"/>
    <w:rsid w:val="00433EA7"/>
    <w:rsid w:val="00435D1C"/>
    <w:rsid w:val="00436B3D"/>
    <w:rsid w:val="00436D08"/>
    <w:rsid w:val="004370B7"/>
    <w:rsid w:val="0044518C"/>
    <w:rsid w:val="00450172"/>
    <w:rsid w:val="00453ABA"/>
    <w:rsid w:val="004546C1"/>
    <w:rsid w:val="00457485"/>
    <w:rsid w:val="004632EA"/>
    <w:rsid w:val="0046399A"/>
    <w:rsid w:val="00464F92"/>
    <w:rsid w:val="004665E1"/>
    <w:rsid w:val="00470295"/>
    <w:rsid w:val="0047118F"/>
    <w:rsid w:val="004728FD"/>
    <w:rsid w:val="00480049"/>
    <w:rsid w:val="00485065"/>
    <w:rsid w:val="00485567"/>
    <w:rsid w:val="004855F8"/>
    <w:rsid w:val="00486701"/>
    <w:rsid w:val="00490ECB"/>
    <w:rsid w:val="00493032"/>
    <w:rsid w:val="004A2528"/>
    <w:rsid w:val="004B2C3B"/>
    <w:rsid w:val="004B4342"/>
    <w:rsid w:val="004B5282"/>
    <w:rsid w:val="004B5967"/>
    <w:rsid w:val="004C3DF0"/>
    <w:rsid w:val="004C5525"/>
    <w:rsid w:val="004C6025"/>
    <w:rsid w:val="004C7672"/>
    <w:rsid w:val="004D1F71"/>
    <w:rsid w:val="004D408F"/>
    <w:rsid w:val="004D432D"/>
    <w:rsid w:val="004E1BF0"/>
    <w:rsid w:val="004E7E9B"/>
    <w:rsid w:val="004F3067"/>
    <w:rsid w:val="004F3AFB"/>
    <w:rsid w:val="004F5CA0"/>
    <w:rsid w:val="00501543"/>
    <w:rsid w:val="00501E99"/>
    <w:rsid w:val="00503BCD"/>
    <w:rsid w:val="00511975"/>
    <w:rsid w:val="00515FF2"/>
    <w:rsid w:val="0051655D"/>
    <w:rsid w:val="005169CA"/>
    <w:rsid w:val="00522E97"/>
    <w:rsid w:val="00524312"/>
    <w:rsid w:val="005300AC"/>
    <w:rsid w:val="00536544"/>
    <w:rsid w:val="00537305"/>
    <w:rsid w:val="005376F5"/>
    <w:rsid w:val="0054039A"/>
    <w:rsid w:val="00540D41"/>
    <w:rsid w:val="00540E5C"/>
    <w:rsid w:val="00540EC7"/>
    <w:rsid w:val="00542A8E"/>
    <w:rsid w:val="0054656B"/>
    <w:rsid w:val="005521D3"/>
    <w:rsid w:val="005567D1"/>
    <w:rsid w:val="00556B1A"/>
    <w:rsid w:val="00561F37"/>
    <w:rsid w:val="00565009"/>
    <w:rsid w:val="00572A40"/>
    <w:rsid w:val="005741E0"/>
    <w:rsid w:val="00580D62"/>
    <w:rsid w:val="005827EE"/>
    <w:rsid w:val="0058326E"/>
    <w:rsid w:val="005861BC"/>
    <w:rsid w:val="00586A1F"/>
    <w:rsid w:val="00586D1E"/>
    <w:rsid w:val="00590395"/>
    <w:rsid w:val="005A3B43"/>
    <w:rsid w:val="005A4BA8"/>
    <w:rsid w:val="005A4BB9"/>
    <w:rsid w:val="005B1D7F"/>
    <w:rsid w:val="005B41CA"/>
    <w:rsid w:val="005B5305"/>
    <w:rsid w:val="005C32B7"/>
    <w:rsid w:val="005C3CB0"/>
    <w:rsid w:val="005C43E2"/>
    <w:rsid w:val="005C4589"/>
    <w:rsid w:val="005C7B93"/>
    <w:rsid w:val="005D33F5"/>
    <w:rsid w:val="005D5166"/>
    <w:rsid w:val="005D52B0"/>
    <w:rsid w:val="005D5622"/>
    <w:rsid w:val="005D6AF5"/>
    <w:rsid w:val="005D7745"/>
    <w:rsid w:val="005E47FE"/>
    <w:rsid w:val="005E4B31"/>
    <w:rsid w:val="005E7FA2"/>
    <w:rsid w:val="005F39EB"/>
    <w:rsid w:val="005F51EA"/>
    <w:rsid w:val="005F56F1"/>
    <w:rsid w:val="005F5DA1"/>
    <w:rsid w:val="005F7CB3"/>
    <w:rsid w:val="00607945"/>
    <w:rsid w:val="00612D85"/>
    <w:rsid w:val="00627AA4"/>
    <w:rsid w:val="00631AED"/>
    <w:rsid w:val="00631F79"/>
    <w:rsid w:val="00632AD4"/>
    <w:rsid w:val="00632C7B"/>
    <w:rsid w:val="00633C33"/>
    <w:rsid w:val="00636AA8"/>
    <w:rsid w:val="006377D4"/>
    <w:rsid w:val="00637AC5"/>
    <w:rsid w:val="00640FB6"/>
    <w:rsid w:val="00641E0F"/>
    <w:rsid w:val="00650A72"/>
    <w:rsid w:val="00653941"/>
    <w:rsid w:val="006565BB"/>
    <w:rsid w:val="00660BBD"/>
    <w:rsid w:val="00664E51"/>
    <w:rsid w:val="006662D4"/>
    <w:rsid w:val="00673DAA"/>
    <w:rsid w:val="00674B1D"/>
    <w:rsid w:val="00674C8B"/>
    <w:rsid w:val="00677038"/>
    <w:rsid w:val="00677B62"/>
    <w:rsid w:val="00680B78"/>
    <w:rsid w:val="00684600"/>
    <w:rsid w:val="00686BEB"/>
    <w:rsid w:val="006A118A"/>
    <w:rsid w:val="006A31C3"/>
    <w:rsid w:val="006A567C"/>
    <w:rsid w:val="006A56FE"/>
    <w:rsid w:val="006B21A3"/>
    <w:rsid w:val="006B6310"/>
    <w:rsid w:val="006C218A"/>
    <w:rsid w:val="006C4B0B"/>
    <w:rsid w:val="006C4D9E"/>
    <w:rsid w:val="006C6A7E"/>
    <w:rsid w:val="006C7CB1"/>
    <w:rsid w:val="006D2D81"/>
    <w:rsid w:val="006D3651"/>
    <w:rsid w:val="006D5675"/>
    <w:rsid w:val="006D62D3"/>
    <w:rsid w:val="006D7FF9"/>
    <w:rsid w:val="006E179D"/>
    <w:rsid w:val="006E24F6"/>
    <w:rsid w:val="006E2BB9"/>
    <w:rsid w:val="006E3778"/>
    <w:rsid w:val="006E74C8"/>
    <w:rsid w:val="006F068A"/>
    <w:rsid w:val="006F2052"/>
    <w:rsid w:val="006F4455"/>
    <w:rsid w:val="006F7B23"/>
    <w:rsid w:val="00700E21"/>
    <w:rsid w:val="0070145F"/>
    <w:rsid w:val="00701E0B"/>
    <w:rsid w:val="00701FB4"/>
    <w:rsid w:val="00702C7F"/>
    <w:rsid w:val="0070304A"/>
    <w:rsid w:val="007053C8"/>
    <w:rsid w:val="007076DB"/>
    <w:rsid w:val="00711ACD"/>
    <w:rsid w:val="00711D27"/>
    <w:rsid w:val="0071374F"/>
    <w:rsid w:val="007146B7"/>
    <w:rsid w:val="00716059"/>
    <w:rsid w:val="007215D7"/>
    <w:rsid w:val="00721DD1"/>
    <w:rsid w:val="007267A1"/>
    <w:rsid w:val="00726E3F"/>
    <w:rsid w:val="00727141"/>
    <w:rsid w:val="00727E46"/>
    <w:rsid w:val="00730AE3"/>
    <w:rsid w:val="00734656"/>
    <w:rsid w:val="007368A6"/>
    <w:rsid w:val="0074140D"/>
    <w:rsid w:val="0074319F"/>
    <w:rsid w:val="007444EC"/>
    <w:rsid w:val="00744D6D"/>
    <w:rsid w:val="0074543B"/>
    <w:rsid w:val="00746BBB"/>
    <w:rsid w:val="00763C83"/>
    <w:rsid w:val="007643FC"/>
    <w:rsid w:val="00766353"/>
    <w:rsid w:val="0077102C"/>
    <w:rsid w:val="00771DA6"/>
    <w:rsid w:val="00775AFB"/>
    <w:rsid w:val="00775C46"/>
    <w:rsid w:val="00776073"/>
    <w:rsid w:val="007766CD"/>
    <w:rsid w:val="0079264C"/>
    <w:rsid w:val="00794A90"/>
    <w:rsid w:val="007A0751"/>
    <w:rsid w:val="007A0CE0"/>
    <w:rsid w:val="007A1F64"/>
    <w:rsid w:val="007A3AE8"/>
    <w:rsid w:val="007A5EC2"/>
    <w:rsid w:val="007B0D1F"/>
    <w:rsid w:val="007B6301"/>
    <w:rsid w:val="007C016E"/>
    <w:rsid w:val="007C0F85"/>
    <w:rsid w:val="007C1FE6"/>
    <w:rsid w:val="007C69B6"/>
    <w:rsid w:val="007D3F16"/>
    <w:rsid w:val="007E0AB4"/>
    <w:rsid w:val="007E2514"/>
    <w:rsid w:val="007E3353"/>
    <w:rsid w:val="007E51C9"/>
    <w:rsid w:val="007F37C5"/>
    <w:rsid w:val="007F4D1C"/>
    <w:rsid w:val="008109DE"/>
    <w:rsid w:val="00812C4A"/>
    <w:rsid w:val="00814C97"/>
    <w:rsid w:val="0081639F"/>
    <w:rsid w:val="00821082"/>
    <w:rsid w:val="00822BD1"/>
    <w:rsid w:val="0083254C"/>
    <w:rsid w:val="0083307B"/>
    <w:rsid w:val="00833351"/>
    <w:rsid w:val="008336DB"/>
    <w:rsid w:val="008343CC"/>
    <w:rsid w:val="00835885"/>
    <w:rsid w:val="00837B82"/>
    <w:rsid w:val="008430D1"/>
    <w:rsid w:val="00843B1B"/>
    <w:rsid w:val="00845B2E"/>
    <w:rsid w:val="00850762"/>
    <w:rsid w:val="008565AB"/>
    <w:rsid w:val="0085664A"/>
    <w:rsid w:val="008566E9"/>
    <w:rsid w:val="00857072"/>
    <w:rsid w:val="00876DCE"/>
    <w:rsid w:val="0088117D"/>
    <w:rsid w:val="00891B0C"/>
    <w:rsid w:val="008955D5"/>
    <w:rsid w:val="0089693B"/>
    <w:rsid w:val="0089779B"/>
    <w:rsid w:val="00897B96"/>
    <w:rsid w:val="008A17E0"/>
    <w:rsid w:val="008A42A2"/>
    <w:rsid w:val="008B27B4"/>
    <w:rsid w:val="008B2813"/>
    <w:rsid w:val="008B2A86"/>
    <w:rsid w:val="008B2F49"/>
    <w:rsid w:val="008B3D74"/>
    <w:rsid w:val="008B4858"/>
    <w:rsid w:val="008B57CE"/>
    <w:rsid w:val="008B7B8E"/>
    <w:rsid w:val="008C2B6C"/>
    <w:rsid w:val="008C3E2E"/>
    <w:rsid w:val="008C46E0"/>
    <w:rsid w:val="008C4958"/>
    <w:rsid w:val="008D18A6"/>
    <w:rsid w:val="008E7992"/>
    <w:rsid w:val="008F1ACB"/>
    <w:rsid w:val="008F3314"/>
    <w:rsid w:val="008F442D"/>
    <w:rsid w:val="0090030A"/>
    <w:rsid w:val="00900AEF"/>
    <w:rsid w:val="009018E1"/>
    <w:rsid w:val="00907848"/>
    <w:rsid w:val="00911C6D"/>
    <w:rsid w:val="009142B9"/>
    <w:rsid w:val="00921E0C"/>
    <w:rsid w:val="009224E9"/>
    <w:rsid w:val="0092574F"/>
    <w:rsid w:val="009306C2"/>
    <w:rsid w:val="009324C3"/>
    <w:rsid w:val="00932C89"/>
    <w:rsid w:val="00934EC0"/>
    <w:rsid w:val="0093652A"/>
    <w:rsid w:val="00937CAD"/>
    <w:rsid w:val="00940CD4"/>
    <w:rsid w:val="00942641"/>
    <w:rsid w:val="00945BB4"/>
    <w:rsid w:val="00957620"/>
    <w:rsid w:val="0096265F"/>
    <w:rsid w:val="00966402"/>
    <w:rsid w:val="00966E5D"/>
    <w:rsid w:val="009740C9"/>
    <w:rsid w:val="0097486E"/>
    <w:rsid w:val="0097782F"/>
    <w:rsid w:val="00980D65"/>
    <w:rsid w:val="0098311E"/>
    <w:rsid w:val="00983908"/>
    <w:rsid w:val="009903B7"/>
    <w:rsid w:val="009967FB"/>
    <w:rsid w:val="00997E12"/>
    <w:rsid w:val="009A1353"/>
    <w:rsid w:val="009A52CD"/>
    <w:rsid w:val="009A5CCD"/>
    <w:rsid w:val="009C6C8C"/>
    <w:rsid w:val="009C74EB"/>
    <w:rsid w:val="009C7D7C"/>
    <w:rsid w:val="009D3DCD"/>
    <w:rsid w:val="009D5385"/>
    <w:rsid w:val="009D786B"/>
    <w:rsid w:val="009E6C24"/>
    <w:rsid w:val="009F1D75"/>
    <w:rsid w:val="009F6FF3"/>
    <w:rsid w:val="00A00BE8"/>
    <w:rsid w:val="00A048D9"/>
    <w:rsid w:val="00A07F2B"/>
    <w:rsid w:val="00A108E3"/>
    <w:rsid w:val="00A13DD4"/>
    <w:rsid w:val="00A20122"/>
    <w:rsid w:val="00A248AA"/>
    <w:rsid w:val="00A2601D"/>
    <w:rsid w:val="00A27BB5"/>
    <w:rsid w:val="00A3099F"/>
    <w:rsid w:val="00A3156A"/>
    <w:rsid w:val="00A329FB"/>
    <w:rsid w:val="00A33092"/>
    <w:rsid w:val="00A352FE"/>
    <w:rsid w:val="00A410A6"/>
    <w:rsid w:val="00A42DEC"/>
    <w:rsid w:val="00A50144"/>
    <w:rsid w:val="00A61AF1"/>
    <w:rsid w:val="00A638CC"/>
    <w:rsid w:val="00A70CC4"/>
    <w:rsid w:val="00A7108F"/>
    <w:rsid w:val="00A745AC"/>
    <w:rsid w:val="00A77386"/>
    <w:rsid w:val="00A77F72"/>
    <w:rsid w:val="00A82993"/>
    <w:rsid w:val="00A82BC9"/>
    <w:rsid w:val="00A83A34"/>
    <w:rsid w:val="00A84516"/>
    <w:rsid w:val="00A84983"/>
    <w:rsid w:val="00A867F3"/>
    <w:rsid w:val="00A871E6"/>
    <w:rsid w:val="00A87A73"/>
    <w:rsid w:val="00A91206"/>
    <w:rsid w:val="00A94D10"/>
    <w:rsid w:val="00AA0DFA"/>
    <w:rsid w:val="00AA60A2"/>
    <w:rsid w:val="00AA6FF0"/>
    <w:rsid w:val="00AB2695"/>
    <w:rsid w:val="00AB36E3"/>
    <w:rsid w:val="00AB3922"/>
    <w:rsid w:val="00AC1F11"/>
    <w:rsid w:val="00AC43A2"/>
    <w:rsid w:val="00AC5326"/>
    <w:rsid w:val="00AD37EC"/>
    <w:rsid w:val="00AE019E"/>
    <w:rsid w:val="00AE1F9D"/>
    <w:rsid w:val="00AF2129"/>
    <w:rsid w:val="00AF3119"/>
    <w:rsid w:val="00AF5033"/>
    <w:rsid w:val="00AF7D9C"/>
    <w:rsid w:val="00B00A91"/>
    <w:rsid w:val="00B028B6"/>
    <w:rsid w:val="00B03DDE"/>
    <w:rsid w:val="00B04DA1"/>
    <w:rsid w:val="00B06B15"/>
    <w:rsid w:val="00B077F2"/>
    <w:rsid w:val="00B0797A"/>
    <w:rsid w:val="00B130BC"/>
    <w:rsid w:val="00B1563C"/>
    <w:rsid w:val="00B246CD"/>
    <w:rsid w:val="00B24B11"/>
    <w:rsid w:val="00B24F16"/>
    <w:rsid w:val="00B25FEA"/>
    <w:rsid w:val="00B36A63"/>
    <w:rsid w:val="00B370C4"/>
    <w:rsid w:val="00B40114"/>
    <w:rsid w:val="00B415B6"/>
    <w:rsid w:val="00B43847"/>
    <w:rsid w:val="00B51B2E"/>
    <w:rsid w:val="00B52528"/>
    <w:rsid w:val="00B52EEF"/>
    <w:rsid w:val="00B54E54"/>
    <w:rsid w:val="00B57D41"/>
    <w:rsid w:val="00B62502"/>
    <w:rsid w:val="00B6426B"/>
    <w:rsid w:val="00B65DDE"/>
    <w:rsid w:val="00B67C80"/>
    <w:rsid w:val="00B72680"/>
    <w:rsid w:val="00B74FDA"/>
    <w:rsid w:val="00B8301F"/>
    <w:rsid w:val="00B841E1"/>
    <w:rsid w:val="00B85332"/>
    <w:rsid w:val="00B86E1E"/>
    <w:rsid w:val="00B9152A"/>
    <w:rsid w:val="00B92964"/>
    <w:rsid w:val="00B92BC3"/>
    <w:rsid w:val="00B92F97"/>
    <w:rsid w:val="00B94112"/>
    <w:rsid w:val="00B9430C"/>
    <w:rsid w:val="00B9438F"/>
    <w:rsid w:val="00B97E61"/>
    <w:rsid w:val="00BA1DF7"/>
    <w:rsid w:val="00BA42B0"/>
    <w:rsid w:val="00BA578F"/>
    <w:rsid w:val="00BA6B31"/>
    <w:rsid w:val="00BB2DE4"/>
    <w:rsid w:val="00BB60B1"/>
    <w:rsid w:val="00BC15D5"/>
    <w:rsid w:val="00BC2C47"/>
    <w:rsid w:val="00BC2ED0"/>
    <w:rsid w:val="00BC6BA8"/>
    <w:rsid w:val="00BD5588"/>
    <w:rsid w:val="00BD6411"/>
    <w:rsid w:val="00BE30B3"/>
    <w:rsid w:val="00BE492B"/>
    <w:rsid w:val="00BE69C3"/>
    <w:rsid w:val="00BF0D02"/>
    <w:rsid w:val="00BF49E8"/>
    <w:rsid w:val="00BF7248"/>
    <w:rsid w:val="00C01A36"/>
    <w:rsid w:val="00C0263D"/>
    <w:rsid w:val="00C04CD4"/>
    <w:rsid w:val="00C06C78"/>
    <w:rsid w:val="00C07B59"/>
    <w:rsid w:val="00C11493"/>
    <w:rsid w:val="00C144A3"/>
    <w:rsid w:val="00C1680A"/>
    <w:rsid w:val="00C17D41"/>
    <w:rsid w:val="00C23090"/>
    <w:rsid w:val="00C23609"/>
    <w:rsid w:val="00C23B6B"/>
    <w:rsid w:val="00C30A72"/>
    <w:rsid w:val="00C31D15"/>
    <w:rsid w:val="00C32947"/>
    <w:rsid w:val="00C36853"/>
    <w:rsid w:val="00C403F3"/>
    <w:rsid w:val="00C4052B"/>
    <w:rsid w:val="00C43457"/>
    <w:rsid w:val="00C43870"/>
    <w:rsid w:val="00C45BA2"/>
    <w:rsid w:val="00C46647"/>
    <w:rsid w:val="00C474CE"/>
    <w:rsid w:val="00C565C0"/>
    <w:rsid w:val="00C57603"/>
    <w:rsid w:val="00C63DAB"/>
    <w:rsid w:val="00C63FBC"/>
    <w:rsid w:val="00C6584D"/>
    <w:rsid w:val="00C67B8F"/>
    <w:rsid w:val="00C73C70"/>
    <w:rsid w:val="00C7688A"/>
    <w:rsid w:val="00C80426"/>
    <w:rsid w:val="00C8213C"/>
    <w:rsid w:val="00C8498E"/>
    <w:rsid w:val="00C86437"/>
    <w:rsid w:val="00C91FBE"/>
    <w:rsid w:val="00C921D7"/>
    <w:rsid w:val="00C93657"/>
    <w:rsid w:val="00C95ED2"/>
    <w:rsid w:val="00CA17EC"/>
    <w:rsid w:val="00CA2E68"/>
    <w:rsid w:val="00CA58CC"/>
    <w:rsid w:val="00CA66F3"/>
    <w:rsid w:val="00CA7243"/>
    <w:rsid w:val="00CB1861"/>
    <w:rsid w:val="00CB2482"/>
    <w:rsid w:val="00CB2845"/>
    <w:rsid w:val="00CB3128"/>
    <w:rsid w:val="00CB4753"/>
    <w:rsid w:val="00CB53E5"/>
    <w:rsid w:val="00CB5916"/>
    <w:rsid w:val="00CC1405"/>
    <w:rsid w:val="00CC2A30"/>
    <w:rsid w:val="00CD0A00"/>
    <w:rsid w:val="00CD346E"/>
    <w:rsid w:val="00CD44C1"/>
    <w:rsid w:val="00CE0297"/>
    <w:rsid w:val="00CE1665"/>
    <w:rsid w:val="00CE1FB5"/>
    <w:rsid w:val="00CE255F"/>
    <w:rsid w:val="00CE3436"/>
    <w:rsid w:val="00CF5B1E"/>
    <w:rsid w:val="00CF62B2"/>
    <w:rsid w:val="00D01503"/>
    <w:rsid w:val="00D01B0B"/>
    <w:rsid w:val="00D02A22"/>
    <w:rsid w:val="00D03B76"/>
    <w:rsid w:val="00D058F4"/>
    <w:rsid w:val="00D13051"/>
    <w:rsid w:val="00D17524"/>
    <w:rsid w:val="00D24D80"/>
    <w:rsid w:val="00D276E5"/>
    <w:rsid w:val="00D30772"/>
    <w:rsid w:val="00D37B0F"/>
    <w:rsid w:val="00D37C0B"/>
    <w:rsid w:val="00D40B48"/>
    <w:rsid w:val="00D432BD"/>
    <w:rsid w:val="00D43332"/>
    <w:rsid w:val="00D50A21"/>
    <w:rsid w:val="00D55946"/>
    <w:rsid w:val="00D56573"/>
    <w:rsid w:val="00D658FE"/>
    <w:rsid w:val="00D701E2"/>
    <w:rsid w:val="00D71D8D"/>
    <w:rsid w:val="00D73CA4"/>
    <w:rsid w:val="00D76117"/>
    <w:rsid w:val="00D7615B"/>
    <w:rsid w:val="00D7628B"/>
    <w:rsid w:val="00D766C6"/>
    <w:rsid w:val="00D76C05"/>
    <w:rsid w:val="00D76FE9"/>
    <w:rsid w:val="00D8207E"/>
    <w:rsid w:val="00D824C2"/>
    <w:rsid w:val="00D9470C"/>
    <w:rsid w:val="00DA1070"/>
    <w:rsid w:val="00DA18D2"/>
    <w:rsid w:val="00DA1AC5"/>
    <w:rsid w:val="00DA2874"/>
    <w:rsid w:val="00DA51B8"/>
    <w:rsid w:val="00DA736A"/>
    <w:rsid w:val="00DA762B"/>
    <w:rsid w:val="00DA7D5A"/>
    <w:rsid w:val="00DB742D"/>
    <w:rsid w:val="00DC1099"/>
    <w:rsid w:val="00DC1330"/>
    <w:rsid w:val="00DC1D10"/>
    <w:rsid w:val="00DC32AC"/>
    <w:rsid w:val="00DD0404"/>
    <w:rsid w:val="00DD0406"/>
    <w:rsid w:val="00DD20F3"/>
    <w:rsid w:val="00DD42D7"/>
    <w:rsid w:val="00DD4F44"/>
    <w:rsid w:val="00DD55EE"/>
    <w:rsid w:val="00DD7E1C"/>
    <w:rsid w:val="00DE5AD5"/>
    <w:rsid w:val="00DF0EC6"/>
    <w:rsid w:val="00DF1785"/>
    <w:rsid w:val="00DF221E"/>
    <w:rsid w:val="00E018AA"/>
    <w:rsid w:val="00E036BB"/>
    <w:rsid w:val="00E03A9B"/>
    <w:rsid w:val="00E04C2E"/>
    <w:rsid w:val="00E150C8"/>
    <w:rsid w:val="00E15CE3"/>
    <w:rsid w:val="00E16890"/>
    <w:rsid w:val="00E2058C"/>
    <w:rsid w:val="00E2364F"/>
    <w:rsid w:val="00E24881"/>
    <w:rsid w:val="00E24E39"/>
    <w:rsid w:val="00E25256"/>
    <w:rsid w:val="00E3006E"/>
    <w:rsid w:val="00E351A2"/>
    <w:rsid w:val="00E3733D"/>
    <w:rsid w:val="00E376B2"/>
    <w:rsid w:val="00E42AD7"/>
    <w:rsid w:val="00E44472"/>
    <w:rsid w:val="00E46844"/>
    <w:rsid w:val="00E501D6"/>
    <w:rsid w:val="00E516FA"/>
    <w:rsid w:val="00E52C6E"/>
    <w:rsid w:val="00E52D43"/>
    <w:rsid w:val="00E53CD2"/>
    <w:rsid w:val="00E56FE0"/>
    <w:rsid w:val="00E6236D"/>
    <w:rsid w:val="00E662C3"/>
    <w:rsid w:val="00E677CC"/>
    <w:rsid w:val="00E710E9"/>
    <w:rsid w:val="00E71164"/>
    <w:rsid w:val="00E716D5"/>
    <w:rsid w:val="00E71750"/>
    <w:rsid w:val="00E7352D"/>
    <w:rsid w:val="00E8016B"/>
    <w:rsid w:val="00E8059E"/>
    <w:rsid w:val="00E87638"/>
    <w:rsid w:val="00E9593E"/>
    <w:rsid w:val="00E9730E"/>
    <w:rsid w:val="00EA16A6"/>
    <w:rsid w:val="00EA39FC"/>
    <w:rsid w:val="00EA5E58"/>
    <w:rsid w:val="00EC259F"/>
    <w:rsid w:val="00EC6180"/>
    <w:rsid w:val="00EC797A"/>
    <w:rsid w:val="00ED0225"/>
    <w:rsid w:val="00ED0C0C"/>
    <w:rsid w:val="00ED3200"/>
    <w:rsid w:val="00ED6182"/>
    <w:rsid w:val="00EE3261"/>
    <w:rsid w:val="00EE45E9"/>
    <w:rsid w:val="00EE5D44"/>
    <w:rsid w:val="00EE7F5C"/>
    <w:rsid w:val="00EE7F79"/>
    <w:rsid w:val="00EF057B"/>
    <w:rsid w:val="00EF0C09"/>
    <w:rsid w:val="00EF0F39"/>
    <w:rsid w:val="00EF0FEA"/>
    <w:rsid w:val="00EF2863"/>
    <w:rsid w:val="00EF4FB0"/>
    <w:rsid w:val="00EF5780"/>
    <w:rsid w:val="00EF5DA8"/>
    <w:rsid w:val="00F02237"/>
    <w:rsid w:val="00F13BC2"/>
    <w:rsid w:val="00F15B3E"/>
    <w:rsid w:val="00F15DB3"/>
    <w:rsid w:val="00F36B52"/>
    <w:rsid w:val="00F37A4B"/>
    <w:rsid w:val="00F437FE"/>
    <w:rsid w:val="00F453D4"/>
    <w:rsid w:val="00F51861"/>
    <w:rsid w:val="00F51B1F"/>
    <w:rsid w:val="00F54CA7"/>
    <w:rsid w:val="00F56B8E"/>
    <w:rsid w:val="00F61C0B"/>
    <w:rsid w:val="00F624C8"/>
    <w:rsid w:val="00F663C4"/>
    <w:rsid w:val="00F6696C"/>
    <w:rsid w:val="00F6756A"/>
    <w:rsid w:val="00F73506"/>
    <w:rsid w:val="00F74759"/>
    <w:rsid w:val="00F74A33"/>
    <w:rsid w:val="00F75E37"/>
    <w:rsid w:val="00F7660B"/>
    <w:rsid w:val="00F76F8E"/>
    <w:rsid w:val="00F77B4A"/>
    <w:rsid w:val="00F9083A"/>
    <w:rsid w:val="00F91DB7"/>
    <w:rsid w:val="00F97242"/>
    <w:rsid w:val="00F978F3"/>
    <w:rsid w:val="00FA0475"/>
    <w:rsid w:val="00FA3E0D"/>
    <w:rsid w:val="00FA4214"/>
    <w:rsid w:val="00FA4750"/>
    <w:rsid w:val="00FA6E9D"/>
    <w:rsid w:val="00FA7790"/>
    <w:rsid w:val="00FA7DAC"/>
    <w:rsid w:val="00FB53BA"/>
    <w:rsid w:val="00FB770C"/>
    <w:rsid w:val="00FB78C4"/>
    <w:rsid w:val="00FC1864"/>
    <w:rsid w:val="00FC3348"/>
    <w:rsid w:val="00FC3562"/>
    <w:rsid w:val="00FD0D83"/>
    <w:rsid w:val="00FD17DC"/>
    <w:rsid w:val="00FD3B7C"/>
    <w:rsid w:val="00FD5F92"/>
    <w:rsid w:val="00FD6E15"/>
    <w:rsid w:val="00FD733A"/>
    <w:rsid w:val="00FD7E6A"/>
    <w:rsid w:val="00FE4367"/>
    <w:rsid w:val="00FE76F4"/>
    <w:rsid w:val="00FF0F61"/>
    <w:rsid w:val="00FF2538"/>
    <w:rsid w:val="00FF2A9E"/>
    <w:rsid w:val="00FF41FB"/>
    <w:rsid w:val="00FF666B"/>
    <w:rsid w:val="00FF785F"/>
    <w:rsid w:val="00FF7D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1AA4"/>
  <w15:docId w15:val="{CE867356-E8E6-4CAC-BDC6-8F0C9071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styleId="Revision">
    <w:name w:val="Revision"/>
    <w:hidden/>
    <w:uiPriority w:val="99"/>
    <w:semiHidden/>
    <w:rsid w:val="00B415B6"/>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A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615B"/>
    <w:rPr>
      <w:color w:val="605E5C"/>
      <w:shd w:val="clear" w:color="auto" w:fill="E1DFDD"/>
    </w:rPr>
  </w:style>
  <w:style w:type="paragraph" w:customStyle="1" w:styleId="Default">
    <w:name w:val="Default"/>
    <w:rsid w:val="006C6A7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41E0F"/>
    <w:rPr>
      <w:sz w:val="20"/>
      <w:szCs w:val="20"/>
    </w:rPr>
  </w:style>
  <w:style w:type="character" w:customStyle="1" w:styleId="FootnoteTextChar">
    <w:name w:val="Footnote Text Char"/>
    <w:basedOn w:val="DefaultParagraphFont"/>
    <w:link w:val="FootnoteText"/>
    <w:uiPriority w:val="99"/>
    <w:semiHidden/>
    <w:rsid w:val="00641E0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41E0F"/>
    <w:rPr>
      <w:vertAlign w:val="superscript"/>
    </w:rPr>
  </w:style>
  <w:style w:type="character" w:styleId="FollowedHyperlink">
    <w:name w:val="FollowedHyperlink"/>
    <w:basedOn w:val="DefaultParagraphFont"/>
    <w:uiPriority w:val="99"/>
    <w:semiHidden/>
    <w:unhideWhenUsed/>
    <w:rsid w:val="00641E0F"/>
    <w:rPr>
      <w:color w:val="800080" w:themeColor="followedHyperlink"/>
      <w:u w:val="single"/>
    </w:rPr>
  </w:style>
  <w:style w:type="character" w:customStyle="1" w:styleId="UnresolvedMention2">
    <w:name w:val="Unresolved Mention2"/>
    <w:basedOn w:val="DefaultParagraphFont"/>
    <w:uiPriority w:val="99"/>
    <w:semiHidden/>
    <w:unhideWhenUsed/>
    <w:rsid w:val="00BC1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060">
      <w:bodyDiv w:val="1"/>
      <w:marLeft w:val="0"/>
      <w:marRight w:val="0"/>
      <w:marTop w:val="0"/>
      <w:marBottom w:val="0"/>
      <w:divBdr>
        <w:top w:val="none" w:sz="0" w:space="0" w:color="auto"/>
        <w:left w:val="none" w:sz="0" w:space="0" w:color="auto"/>
        <w:bottom w:val="none" w:sz="0" w:space="0" w:color="auto"/>
        <w:right w:val="none" w:sz="0" w:space="0" w:color="auto"/>
      </w:divBdr>
    </w:div>
    <w:div w:id="295262069">
      <w:bodyDiv w:val="1"/>
      <w:marLeft w:val="0"/>
      <w:marRight w:val="0"/>
      <w:marTop w:val="0"/>
      <w:marBottom w:val="0"/>
      <w:divBdr>
        <w:top w:val="none" w:sz="0" w:space="0" w:color="auto"/>
        <w:left w:val="none" w:sz="0" w:space="0" w:color="auto"/>
        <w:bottom w:val="none" w:sz="0" w:space="0" w:color="auto"/>
        <w:right w:val="none" w:sz="0" w:space="0" w:color="auto"/>
      </w:divBdr>
    </w:div>
    <w:div w:id="546339761">
      <w:bodyDiv w:val="1"/>
      <w:marLeft w:val="0"/>
      <w:marRight w:val="0"/>
      <w:marTop w:val="0"/>
      <w:marBottom w:val="0"/>
      <w:divBdr>
        <w:top w:val="none" w:sz="0" w:space="0" w:color="auto"/>
        <w:left w:val="none" w:sz="0" w:space="0" w:color="auto"/>
        <w:bottom w:val="none" w:sz="0" w:space="0" w:color="auto"/>
        <w:right w:val="none" w:sz="0" w:space="0" w:color="auto"/>
      </w:divBdr>
    </w:div>
    <w:div w:id="792406875">
      <w:bodyDiv w:val="1"/>
      <w:marLeft w:val="0"/>
      <w:marRight w:val="0"/>
      <w:marTop w:val="0"/>
      <w:marBottom w:val="0"/>
      <w:divBdr>
        <w:top w:val="none" w:sz="0" w:space="0" w:color="auto"/>
        <w:left w:val="none" w:sz="0" w:space="0" w:color="auto"/>
        <w:bottom w:val="none" w:sz="0" w:space="0" w:color="auto"/>
        <w:right w:val="none" w:sz="0" w:space="0" w:color="auto"/>
      </w:divBdr>
    </w:div>
    <w:div w:id="1282959818">
      <w:bodyDiv w:val="1"/>
      <w:marLeft w:val="0"/>
      <w:marRight w:val="0"/>
      <w:marTop w:val="0"/>
      <w:marBottom w:val="0"/>
      <w:divBdr>
        <w:top w:val="none" w:sz="0" w:space="0" w:color="auto"/>
        <w:left w:val="none" w:sz="0" w:space="0" w:color="auto"/>
        <w:bottom w:val="none" w:sz="0" w:space="0" w:color="auto"/>
        <w:right w:val="none" w:sz="0" w:space="0" w:color="auto"/>
      </w:divBdr>
    </w:div>
    <w:div w:id="1669944819">
      <w:bodyDiv w:val="1"/>
      <w:marLeft w:val="0"/>
      <w:marRight w:val="0"/>
      <w:marTop w:val="0"/>
      <w:marBottom w:val="0"/>
      <w:divBdr>
        <w:top w:val="none" w:sz="0" w:space="0" w:color="auto"/>
        <w:left w:val="none" w:sz="0" w:space="0" w:color="auto"/>
        <w:bottom w:val="none" w:sz="0" w:space="0" w:color="auto"/>
        <w:right w:val="none" w:sz="0" w:space="0" w:color="auto"/>
      </w:divBdr>
    </w:div>
    <w:div w:id="2063168130">
      <w:bodyDiv w:val="1"/>
      <w:marLeft w:val="0"/>
      <w:marRight w:val="0"/>
      <w:marTop w:val="0"/>
      <w:marBottom w:val="0"/>
      <w:divBdr>
        <w:top w:val="none" w:sz="0" w:space="0" w:color="auto"/>
        <w:left w:val="none" w:sz="0" w:space="0" w:color="auto"/>
        <w:bottom w:val="none" w:sz="0" w:space="0" w:color="auto"/>
        <w:right w:val="none" w:sz="0" w:space="0" w:color="auto"/>
      </w:divBdr>
    </w:div>
    <w:div w:id="20940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ka.Valdmane@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tiesibu_aktu_projekti/nodoklu_politik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Salmiņa</Vad_x012b_t_x0101_js>
    <TAP xmlns="8a8406e0-fd3e-4c97-9c6b-df4e1c510b77">124</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B91FC-8647-490E-95CA-4A88C7F19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9559E-6A3C-4D51-95B8-2874828F8BBD}">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FA8EBDC3-7EBF-4CAE-9B86-390C1B28741D}">
  <ds:schemaRefs>
    <ds:schemaRef ds:uri="http://schemas.microsoft.com/sharepoint/v3/contenttype/forms"/>
  </ds:schemaRefs>
</ds:datastoreItem>
</file>

<file path=customXml/itemProps4.xml><?xml version="1.0" encoding="utf-8"?>
<ds:datastoreItem xmlns:ds="http://schemas.openxmlformats.org/officeDocument/2006/customXml" ds:itemID="{5C622C41-87B5-4EC3-94EE-E8B406EA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10788</Words>
  <Characters>6150</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22.maija noteikumos Nr.361 “Dabas resursu nodokļa piemērošanas noteikumi transportlīdzekļiem”” sākotnējās ietekmes novērtējuma ziņojums (anotācija)</vt:lpstr>
    </vt:vector>
  </TitlesOfParts>
  <Company>Finanšu ministrija</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22.maija noteikumos Nr.361 “Dabas resursu nodokļa piemērošanas noteikumi transportlīdzekļiem”” sākotnējās ietekmes novērtējuma ziņojums (anotācija)</dc:title>
  <dc:subject>Anotācija</dc:subject>
  <dc:creator>marika.valdmane@fm.gov.lv</dc:creator>
  <dc:description>67095524,
Marika.Valdmane@fm.gov.lv</dc:description>
  <cp:lastModifiedBy>Laimdota Adlere</cp:lastModifiedBy>
  <cp:revision>2</cp:revision>
  <cp:lastPrinted>2020-11-26T14:09:00Z</cp:lastPrinted>
  <dcterms:created xsi:type="dcterms:W3CDTF">2020-12-02T15:19:00Z</dcterms:created>
  <dcterms:modified xsi:type="dcterms:W3CDTF">2020-12-02T15:19:00Z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